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8" w:type="pct"/>
        <w:tblInd w:w="70" w:type="dxa"/>
        <w:tblCellMar>
          <w:left w:w="70" w:type="dxa"/>
          <w:right w:w="70" w:type="dxa"/>
        </w:tblCellMar>
        <w:tblLook w:val="04A0" w:firstRow="1" w:lastRow="0" w:firstColumn="1" w:lastColumn="0" w:noHBand="0" w:noVBand="1"/>
      </w:tblPr>
      <w:tblGrid>
        <w:gridCol w:w="8577"/>
        <w:gridCol w:w="1030"/>
      </w:tblGrid>
      <w:tr w:rsidR="001714AE" w:rsidRPr="004B552B" w14:paraId="79ACD54F" w14:textId="77777777" w:rsidTr="00AB594B">
        <w:trPr>
          <w:trHeight w:val="383"/>
        </w:trPr>
        <w:tc>
          <w:tcPr>
            <w:tcW w:w="4464" w:type="pct"/>
            <w:vMerge w:val="restart"/>
            <w:shd w:val="clear" w:color="auto" w:fill="auto"/>
            <w:hideMark/>
          </w:tcPr>
          <w:p w14:paraId="1224E251" w14:textId="63AF5C97" w:rsidR="001714AE" w:rsidRPr="004B552B" w:rsidRDefault="001714AE" w:rsidP="00731C2E">
            <w:pPr>
              <w:jc w:val="center"/>
              <w:rPr>
                <w:rFonts w:ascii="Arial" w:hAnsi="Arial" w:cs="Arial"/>
                <w:b/>
                <w:bCs/>
              </w:rPr>
            </w:pPr>
            <w:r w:rsidRPr="004B552B">
              <w:rPr>
                <w:rFonts w:ascii="Arial" w:hAnsi="Arial" w:cs="Arial"/>
                <w:b/>
                <w:bCs/>
              </w:rPr>
              <w:t>Í   N   D   I   C   E</w:t>
            </w:r>
          </w:p>
        </w:tc>
        <w:tc>
          <w:tcPr>
            <w:tcW w:w="536" w:type="pct"/>
            <w:vMerge w:val="restart"/>
            <w:shd w:val="clear" w:color="auto" w:fill="auto"/>
            <w:hideMark/>
          </w:tcPr>
          <w:p w14:paraId="2ABB976C" w14:textId="77777777" w:rsidR="001714AE" w:rsidRPr="004B552B" w:rsidRDefault="001714AE" w:rsidP="00094B8A">
            <w:pPr>
              <w:ind w:left="-51"/>
              <w:jc w:val="center"/>
              <w:rPr>
                <w:rFonts w:ascii="Arial" w:hAnsi="Arial" w:cs="Arial"/>
                <w:b/>
              </w:rPr>
            </w:pPr>
            <w:r w:rsidRPr="004B552B">
              <w:rPr>
                <w:rFonts w:ascii="Arial" w:hAnsi="Arial" w:cs="Arial"/>
                <w:b/>
              </w:rPr>
              <w:t>PÁGINA</w:t>
            </w:r>
          </w:p>
        </w:tc>
      </w:tr>
      <w:tr w:rsidR="001714AE" w:rsidRPr="004B552B" w14:paraId="1EAEAFF9" w14:textId="77777777" w:rsidTr="00AB594B">
        <w:trPr>
          <w:trHeight w:val="414"/>
        </w:trPr>
        <w:tc>
          <w:tcPr>
            <w:tcW w:w="4464" w:type="pct"/>
            <w:vMerge/>
            <w:shd w:val="clear" w:color="auto" w:fill="auto"/>
            <w:hideMark/>
          </w:tcPr>
          <w:p w14:paraId="7680380C" w14:textId="77777777" w:rsidR="001714AE" w:rsidRPr="004B552B" w:rsidRDefault="001714AE" w:rsidP="00FC42D5">
            <w:pPr>
              <w:spacing w:line="360" w:lineRule="auto"/>
              <w:rPr>
                <w:rFonts w:ascii="Arial" w:hAnsi="Arial" w:cs="Arial"/>
                <w:b/>
                <w:bCs/>
              </w:rPr>
            </w:pPr>
          </w:p>
        </w:tc>
        <w:tc>
          <w:tcPr>
            <w:tcW w:w="536" w:type="pct"/>
            <w:vMerge/>
            <w:shd w:val="clear" w:color="auto" w:fill="auto"/>
            <w:hideMark/>
          </w:tcPr>
          <w:p w14:paraId="2FF32A68" w14:textId="77777777" w:rsidR="001714AE" w:rsidRPr="004B552B" w:rsidRDefault="001714AE" w:rsidP="00FC42D5">
            <w:pPr>
              <w:spacing w:line="360" w:lineRule="auto"/>
              <w:jc w:val="center"/>
              <w:rPr>
                <w:rFonts w:ascii="Arial" w:hAnsi="Arial" w:cs="Arial"/>
              </w:rPr>
            </w:pPr>
          </w:p>
        </w:tc>
      </w:tr>
      <w:tr w:rsidR="001714AE" w:rsidRPr="004B552B" w14:paraId="08825E09" w14:textId="77777777" w:rsidTr="00AB594B">
        <w:trPr>
          <w:trHeight w:val="414"/>
        </w:trPr>
        <w:tc>
          <w:tcPr>
            <w:tcW w:w="4464" w:type="pct"/>
            <w:vMerge w:val="restart"/>
            <w:shd w:val="clear" w:color="auto" w:fill="auto"/>
            <w:hideMark/>
          </w:tcPr>
          <w:p w14:paraId="1AAABF8C" w14:textId="16E05056" w:rsidR="001714AE" w:rsidRPr="004B552B" w:rsidRDefault="001714AE" w:rsidP="00884025">
            <w:pPr>
              <w:spacing w:line="360" w:lineRule="auto"/>
              <w:rPr>
                <w:rFonts w:ascii="Arial" w:hAnsi="Arial" w:cs="Arial"/>
                <w:b/>
                <w:bCs/>
              </w:rPr>
            </w:pPr>
            <w:r w:rsidRPr="004B552B">
              <w:rPr>
                <w:rFonts w:ascii="Arial" w:hAnsi="Arial" w:cs="Arial"/>
                <w:b/>
                <w:bCs/>
              </w:rPr>
              <w:t>INTRODUCCIÓN</w:t>
            </w:r>
          </w:p>
        </w:tc>
        <w:tc>
          <w:tcPr>
            <w:tcW w:w="536" w:type="pct"/>
            <w:vMerge w:val="restart"/>
            <w:shd w:val="clear" w:color="auto" w:fill="auto"/>
            <w:hideMark/>
          </w:tcPr>
          <w:p w14:paraId="0308ED40" w14:textId="77777777" w:rsidR="001714AE" w:rsidRPr="004B552B" w:rsidRDefault="001714AE" w:rsidP="00FC42D5">
            <w:pPr>
              <w:spacing w:line="360" w:lineRule="auto"/>
              <w:jc w:val="center"/>
              <w:rPr>
                <w:rFonts w:ascii="Arial" w:hAnsi="Arial" w:cs="Arial"/>
                <w:b/>
              </w:rPr>
            </w:pPr>
            <w:r w:rsidRPr="004B552B">
              <w:rPr>
                <w:rFonts w:ascii="Arial" w:hAnsi="Arial" w:cs="Arial"/>
                <w:b/>
              </w:rPr>
              <w:t>2</w:t>
            </w:r>
          </w:p>
        </w:tc>
      </w:tr>
      <w:tr w:rsidR="001714AE" w:rsidRPr="004B552B" w14:paraId="51BACB23" w14:textId="77777777" w:rsidTr="00AB594B">
        <w:trPr>
          <w:trHeight w:val="414"/>
        </w:trPr>
        <w:tc>
          <w:tcPr>
            <w:tcW w:w="4464" w:type="pct"/>
            <w:vMerge/>
            <w:shd w:val="clear" w:color="auto" w:fill="auto"/>
            <w:hideMark/>
          </w:tcPr>
          <w:p w14:paraId="0C5E3214" w14:textId="77777777" w:rsidR="001714AE" w:rsidRPr="004B552B" w:rsidRDefault="001714AE" w:rsidP="00FC42D5">
            <w:pPr>
              <w:spacing w:line="360" w:lineRule="auto"/>
              <w:rPr>
                <w:rFonts w:ascii="Arial" w:hAnsi="Arial" w:cs="Arial"/>
                <w:b/>
                <w:bCs/>
              </w:rPr>
            </w:pPr>
          </w:p>
        </w:tc>
        <w:tc>
          <w:tcPr>
            <w:tcW w:w="536" w:type="pct"/>
            <w:vMerge/>
            <w:shd w:val="clear" w:color="auto" w:fill="auto"/>
            <w:hideMark/>
          </w:tcPr>
          <w:p w14:paraId="14B3D338" w14:textId="77777777" w:rsidR="001714AE" w:rsidRPr="004B552B" w:rsidRDefault="001714AE" w:rsidP="00FC42D5">
            <w:pPr>
              <w:spacing w:line="360" w:lineRule="auto"/>
              <w:jc w:val="center"/>
              <w:rPr>
                <w:rFonts w:ascii="Arial" w:hAnsi="Arial" w:cs="Arial"/>
                <w:b/>
              </w:rPr>
            </w:pPr>
          </w:p>
        </w:tc>
      </w:tr>
      <w:tr w:rsidR="001714AE" w:rsidRPr="004B552B" w14:paraId="0EE5D245" w14:textId="77777777" w:rsidTr="00AB594B">
        <w:trPr>
          <w:trHeight w:val="414"/>
        </w:trPr>
        <w:tc>
          <w:tcPr>
            <w:tcW w:w="4464" w:type="pct"/>
            <w:vMerge w:val="restart"/>
            <w:shd w:val="clear" w:color="auto" w:fill="auto"/>
            <w:hideMark/>
          </w:tcPr>
          <w:p w14:paraId="060FCEB7" w14:textId="77777777" w:rsidR="001714AE" w:rsidRPr="004B552B" w:rsidRDefault="001714AE" w:rsidP="003C11B9">
            <w:pPr>
              <w:spacing w:line="360" w:lineRule="auto"/>
              <w:jc w:val="both"/>
              <w:rPr>
                <w:rFonts w:ascii="Arial" w:hAnsi="Arial" w:cs="Arial"/>
                <w:b/>
                <w:bCs/>
              </w:rPr>
            </w:pPr>
            <w:r w:rsidRPr="004B552B">
              <w:rPr>
                <w:rFonts w:ascii="Arial" w:hAnsi="Arial" w:cs="Arial"/>
                <w:b/>
                <w:bCs/>
              </w:rPr>
              <w:t>ANTECEDENTES DE LA ENTIDAD FISCALIZADA</w:t>
            </w:r>
          </w:p>
        </w:tc>
        <w:tc>
          <w:tcPr>
            <w:tcW w:w="536" w:type="pct"/>
            <w:vMerge w:val="restart"/>
            <w:shd w:val="clear" w:color="auto" w:fill="auto"/>
            <w:hideMark/>
          </w:tcPr>
          <w:p w14:paraId="277A0385" w14:textId="77777777" w:rsidR="001714AE" w:rsidRPr="004B552B" w:rsidRDefault="001714AE" w:rsidP="00FC42D5">
            <w:pPr>
              <w:tabs>
                <w:tab w:val="left" w:pos="380"/>
                <w:tab w:val="center" w:pos="455"/>
              </w:tabs>
              <w:spacing w:line="360" w:lineRule="auto"/>
              <w:rPr>
                <w:rFonts w:ascii="Arial" w:hAnsi="Arial" w:cs="Arial"/>
                <w:b/>
              </w:rPr>
            </w:pPr>
            <w:r w:rsidRPr="004B552B">
              <w:rPr>
                <w:rFonts w:ascii="Arial" w:hAnsi="Arial" w:cs="Arial"/>
                <w:b/>
              </w:rPr>
              <w:tab/>
              <w:t>4</w:t>
            </w:r>
          </w:p>
        </w:tc>
      </w:tr>
      <w:tr w:rsidR="001714AE" w:rsidRPr="004B552B" w14:paraId="4DB3F481" w14:textId="77777777" w:rsidTr="00AB594B">
        <w:trPr>
          <w:trHeight w:val="414"/>
        </w:trPr>
        <w:tc>
          <w:tcPr>
            <w:tcW w:w="4464" w:type="pct"/>
            <w:vMerge/>
            <w:shd w:val="clear" w:color="auto" w:fill="auto"/>
            <w:hideMark/>
          </w:tcPr>
          <w:p w14:paraId="21C06973" w14:textId="77777777" w:rsidR="001714AE" w:rsidRPr="004B552B" w:rsidRDefault="001714AE" w:rsidP="00FC42D5">
            <w:pPr>
              <w:spacing w:line="360" w:lineRule="auto"/>
              <w:rPr>
                <w:rFonts w:ascii="Arial" w:hAnsi="Arial" w:cs="Arial"/>
                <w:b/>
                <w:bCs/>
              </w:rPr>
            </w:pPr>
          </w:p>
        </w:tc>
        <w:tc>
          <w:tcPr>
            <w:tcW w:w="536" w:type="pct"/>
            <w:vMerge/>
            <w:shd w:val="clear" w:color="auto" w:fill="auto"/>
            <w:hideMark/>
          </w:tcPr>
          <w:p w14:paraId="6D9A2615" w14:textId="77777777" w:rsidR="001714AE" w:rsidRPr="004B552B" w:rsidRDefault="001714AE" w:rsidP="00FC42D5">
            <w:pPr>
              <w:spacing w:line="360" w:lineRule="auto"/>
              <w:jc w:val="center"/>
              <w:rPr>
                <w:rFonts w:ascii="Arial" w:hAnsi="Arial" w:cs="Arial"/>
                <w:b/>
              </w:rPr>
            </w:pPr>
          </w:p>
        </w:tc>
      </w:tr>
      <w:tr w:rsidR="001714AE" w:rsidRPr="004B552B" w14:paraId="036D3897" w14:textId="77777777" w:rsidTr="00AB594B">
        <w:trPr>
          <w:trHeight w:val="594"/>
        </w:trPr>
        <w:tc>
          <w:tcPr>
            <w:tcW w:w="4464" w:type="pct"/>
            <w:vMerge w:val="restart"/>
            <w:shd w:val="clear" w:color="auto" w:fill="auto"/>
            <w:hideMark/>
          </w:tcPr>
          <w:p w14:paraId="0BB7E2E4" w14:textId="7278F544" w:rsidR="00C81854" w:rsidRPr="00C81854" w:rsidRDefault="001714AE" w:rsidP="00124673">
            <w:pPr>
              <w:spacing w:line="360" w:lineRule="auto"/>
              <w:jc w:val="both"/>
              <w:rPr>
                <w:rFonts w:ascii="Arial" w:hAnsi="Arial" w:cs="Arial"/>
                <w:b/>
                <w:bCs/>
              </w:rPr>
            </w:pPr>
            <w:r w:rsidRPr="004B552B">
              <w:rPr>
                <w:rFonts w:ascii="Arial" w:hAnsi="Arial" w:cs="Arial"/>
                <w:b/>
                <w:bCs/>
              </w:rPr>
              <w:t xml:space="preserve">I. INFORME INDIVIDUAL DE AUDITORÍA RELATIVO A INGRESOS Y </w:t>
            </w:r>
            <w:r w:rsidR="00124673" w:rsidRPr="004B552B">
              <w:rPr>
                <w:rFonts w:ascii="Arial" w:hAnsi="Arial" w:cs="Arial"/>
                <w:b/>
                <w:bCs/>
              </w:rPr>
              <w:t>GASTOS</w:t>
            </w:r>
            <w:r w:rsidR="003C11B9" w:rsidRPr="004B552B">
              <w:rPr>
                <w:rFonts w:ascii="Arial" w:hAnsi="Arial" w:cs="Arial"/>
                <w:b/>
                <w:bCs/>
              </w:rPr>
              <w:t xml:space="preserve"> PÚBLICOS</w:t>
            </w:r>
          </w:p>
        </w:tc>
        <w:tc>
          <w:tcPr>
            <w:tcW w:w="536" w:type="pct"/>
            <w:vMerge w:val="restart"/>
            <w:shd w:val="clear" w:color="auto" w:fill="auto"/>
            <w:hideMark/>
          </w:tcPr>
          <w:p w14:paraId="2887F921" w14:textId="77777777" w:rsidR="001714AE" w:rsidRPr="004B552B" w:rsidRDefault="001714AE" w:rsidP="00FC42D5">
            <w:pPr>
              <w:spacing w:line="360" w:lineRule="auto"/>
              <w:jc w:val="center"/>
              <w:rPr>
                <w:rFonts w:ascii="Arial" w:hAnsi="Arial" w:cs="Arial"/>
                <w:b/>
              </w:rPr>
            </w:pPr>
          </w:p>
        </w:tc>
      </w:tr>
      <w:tr w:rsidR="001714AE" w:rsidRPr="004B552B" w14:paraId="35E6A970" w14:textId="77777777" w:rsidTr="00AB594B">
        <w:trPr>
          <w:trHeight w:val="414"/>
        </w:trPr>
        <w:tc>
          <w:tcPr>
            <w:tcW w:w="4464" w:type="pct"/>
            <w:vMerge/>
            <w:shd w:val="clear" w:color="auto" w:fill="auto"/>
            <w:hideMark/>
          </w:tcPr>
          <w:p w14:paraId="1020A4EB" w14:textId="77777777" w:rsidR="001714AE" w:rsidRPr="004B552B" w:rsidRDefault="001714AE" w:rsidP="00FC42D5">
            <w:pPr>
              <w:spacing w:line="360" w:lineRule="auto"/>
              <w:rPr>
                <w:rFonts w:ascii="Arial" w:hAnsi="Arial" w:cs="Arial"/>
                <w:b/>
                <w:bCs/>
              </w:rPr>
            </w:pPr>
          </w:p>
        </w:tc>
        <w:tc>
          <w:tcPr>
            <w:tcW w:w="536" w:type="pct"/>
            <w:vMerge/>
            <w:shd w:val="clear" w:color="auto" w:fill="auto"/>
            <w:hideMark/>
          </w:tcPr>
          <w:p w14:paraId="4F63775A" w14:textId="77777777" w:rsidR="001714AE" w:rsidRPr="004B552B" w:rsidRDefault="001714AE" w:rsidP="00FC42D5">
            <w:pPr>
              <w:spacing w:line="360" w:lineRule="auto"/>
              <w:jc w:val="center"/>
              <w:rPr>
                <w:rFonts w:ascii="Arial" w:hAnsi="Arial" w:cs="Arial"/>
                <w:b/>
              </w:rPr>
            </w:pPr>
          </w:p>
        </w:tc>
      </w:tr>
      <w:tr w:rsidR="001714AE" w:rsidRPr="004B552B" w14:paraId="01640BF6" w14:textId="77777777" w:rsidTr="00AB594B">
        <w:trPr>
          <w:trHeight w:val="18"/>
        </w:trPr>
        <w:tc>
          <w:tcPr>
            <w:tcW w:w="4464" w:type="pct"/>
            <w:shd w:val="clear" w:color="auto" w:fill="auto"/>
            <w:hideMark/>
          </w:tcPr>
          <w:p w14:paraId="6CFEFD2F" w14:textId="77777777" w:rsidR="001714AE" w:rsidRPr="004B552B" w:rsidRDefault="001714AE" w:rsidP="00FC42D5">
            <w:pPr>
              <w:spacing w:after="180" w:line="360" w:lineRule="auto"/>
              <w:rPr>
                <w:rFonts w:ascii="Arial" w:hAnsi="Arial" w:cs="Arial"/>
                <w:b/>
                <w:bCs/>
              </w:rPr>
            </w:pPr>
            <w:r w:rsidRPr="004B552B">
              <w:rPr>
                <w:rFonts w:ascii="Arial" w:hAnsi="Arial" w:cs="Arial"/>
                <w:b/>
                <w:bCs/>
              </w:rPr>
              <w:t>I.1. ASPECTOS GENERALES DE LA AUDITORÍA</w:t>
            </w:r>
          </w:p>
        </w:tc>
        <w:tc>
          <w:tcPr>
            <w:tcW w:w="536" w:type="pct"/>
            <w:shd w:val="clear" w:color="auto" w:fill="auto"/>
            <w:hideMark/>
          </w:tcPr>
          <w:p w14:paraId="0D43E991" w14:textId="24F4BC89" w:rsidR="001714AE" w:rsidRPr="004B552B" w:rsidRDefault="00976DFE" w:rsidP="00FC42D5">
            <w:pPr>
              <w:spacing w:line="360" w:lineRule="auto"/>
              <w:jc w:val="center"/>
              <w:rPr>
                <w:rFonts w:ascii="Arial" w:hAnsi="Arial" w:cs="Arial"/>
                <w:b/>
              </w:rPr>
            </w:pPr>
            <w:r w:rsidRPr="004B552B">
              <w:rPr>
                <w:rFonts w:ascii="Arial" w:hAnsi="Arial" w:cs="Arial"/>
                <w:b/>
              </w:rPr>
              <w:t>6</w:t>
            </w:r>
          </w:p>
        </w:tc>
      </w:tr>
      <w:tr w:rsidR="001714AE" w:rsidRPr="004B552B" w14:paraId="6C9F0B82" w14:textId="77777777" w:rsidTr="00AB594B">
        <w:trPr>
          <w:trHeight w:val="18"/>
        </w:trPr>
        <w:tc>
          <w:tcPr>
            <w:tcW w:w="4464" w:type="pct"/>
            <w:shd w:val="clear" w:color="auto" w:fill="auto"/>
          </w:tcPr>
          <w:p w14:paraId="762B9D41" w14:textId="77777777" w:rsidR="001714AE" w:rsidRPr="004B552B" w:rsidRDefault="001714AE" w:rsidP="00FC42D5">
            <w:pPr>
              <w:spacing w:after="180" w:line="360" w:lineRule="auto"/>
              <w:ind w:left="708"/>
              <w:rPr>
                <w:rFonts w:ascii="Arial" w:hAnsi="Arial" w:cs="Arial"/>
                <w:b/>
                <w:bCs/>
              </w:rPr>
            </w:pPr>
            <w:r w:rsidRPr="004B552B">
              <w:rPr>
                <w:rFonts w:ascii="Arial" w:hAnsi="Arial" w:cs="Arial"/>
                <w:b/>
                <w:bCs/>
              </w:rPr>
              <w:t>A. Título de la Auditoría</w:t>
            </w:r>
          </w:p>
        </w:tc>
        <w:tc>
          <w:tcPr>
            <w:tcW w:w="536" w:type="pct"/>
            <w:shd w:val="clear" w:color="auto" w:fill="auto"/>
          </w:tcPr>
          <w:p w14:paraId="023CABFF" w14:textId="1B015A06" w:rsidR="001714AE" w:rsidRPr="004B552B" w:rsidRDefault="00976DFE" w:rsidP="00FC42D5">
            <w:pPr>
              <w:spacing w:line="360" w:lineRule="auto"/>
              <w:jc w:val="center"/>
              <w:rPr>
                <w:rFonts w:ascii="Arial" w:hAnsi="Arial" w:cs="Arial"/>
                <w:b/>
              </w:rPr>
            </w:pPr>
            <w:r w:rsidRPr="004B552B">
              <w:rPr>
                <w:rFonts w:ascii="Arial" w:hAnsi="Arial" w:cs="Arial"/>
                <w:b/>
              </w:rPr>
              <w:t>6</w:t>
            </w:r>
          </w:p>
        </w:tc>
      </w:tr>
      <w:tr w:rsidR="001714AE" w:rsidRPr="004B552B" w14:paraId="004D6FD4" w14:textId="77777777" w:rsidTr="00AB594B">
        <w:trPr>
          <w:trHeight w:val="18"/>
        </w:trPr>
        <w:tc>
          <w:tcPr>
            <w:tcW w:w="4464" w:type="pct"/>
            <w:shd w:val="clear" w:color="auto" w:fill="auto"/>
          </w:tcPr>
          <w:p w14:paraId="2C896B13" w14:textId="77777777" w:rsidR="001714AE" w:rsidRPr="004B552B" w:rsidRDefault="001714AE" w:rsidP="00FC42D5">
            <w:pPr>
              <w:tabs>
                <w:tab w:val="left" w:pos="1912"/>
              </w:tabs>
              <w:spacing w:after="180" w:line="360" w:lineRule="auto"/>
              <w:ind w:left="708"/>
              <w:rPr>
                <w:rFonts w:ascii="Arial" w:hAnsi="Arial" w:cs="Arial"/>
                <w:b/>
                <w:bCs/>
              </w:rPr>
            </w:pPr>
            <w:r w:rsidRPr="004B552B">
              <w:rPr>
                <w:rFonts w:ascii="Arial" w:hAnsi="Arial" w:cs="Arial"/>
                <w:b/>
                <w:bCs/>
              </w:rPr>
              <w:t>B. Objetivo</w:t>
            </w:r>
          </w:p>
        </w:tc>
        <w:tc>
          <w:tcPr>
            <w:tcW w:w="536" w:type="pct"/>
            <w:shd w:val="clear" w:color="auto" w:fill="auto"/>
          </w:tcPr>
          <w:p w14:paraId="2EDD7139" w14:textId="03C5BA28" w:rsidR="001714AE" w:rsidRPr="004B552B" w:rsidRDefault="00976DFE" w:rsidP="00FC42D5">
            <w:pPr>
              <w:spacing w:line="360" w:lineRule="auto"/>
              <w:jc w:val="center"/>
              <w:rPr>
                <w:rFonts w:ascii="Arial" w:hAnsi="Arial" w:cs="Arial"/>
                <w:b/>
              </w:rPr>
            </w:pPr>
            <w:r w:rsidRPr="004B552B">
              <w:rPr>
                <w:rFonts w:ascii="Arial" w:hAnsi="Arial" w:cs="Arial"/>
                <w:b/>
              </w:rPr>
              <w:t>6</w:t>
            </w:r>
          </w:p>
        </w:tc>
      </w:tr>
      <w:tr w:rsidR="001714AE" w:rsidRPr="004B552B" w14:paraId="32EEAD0F" w14:textId="77777777" w:rsidTr="00AB594B">
        <w:trPr>
          <w:trHeight w:val="18"/>
        </w:trPr>
        <w:tc>
          <w:tcPr>
            <w:tcW w:w="4464" w:type="pct"/>
            <w:shd w:val="clear" w:color="auto" w:fill="auto"/>
          </w:tcPr>
          <w:p w14:paraId="35C7BC82" w14:textId="77777777" w:rsidR="001714AE" w:rsidRPr="004B552B" w:rsidRDefault="001714AE" w:rsidP="00FC42D5">
            <w:pPr>
              <w:spacing w:after="180" w:line="360" w:lineRule="auto"/>
              <w:ind w:left="708"/>
              <w:rPr>
                <w:rFonts w:ascii="Arial" w:hAnsi="Arial" w:cs="Arial"/>
                <w:b/>
                <w:bCs/>
              </w:rPr>
            </w:pPr>
            <w:r w:rsidRPr="004B552B">
              <w:rPr>
                <w:rFonts w:ascii="Arial" w:hAnsi="Arial" w:cs="Arial"/>
                <w:b/>
                <w:bCs/>
              </w:rPr>
              <w:t>C. Alcance</w:t>
            </w:r>
          </w:p>
        </w:tc>
        <w:tc>
          <w:tcPr>
            <w:tcW w:w="536" w:type="pct"/>
            <w:shd w:val="clear" w:color="auto" w:fill="auto"/>
          </w:tcPr>
          <w:p w14:paraId="4A978C50" w14:textId="79861E4E" w:rsidR="001714AE" w:rsidRPr="004B552B" w:rsidRDefault="00C1736C" w:rsidP="00FC42D5">
            <w:pPr>
              <w:spacing w:line="360" w:lineRule="auto"/>
              <w:jc w:val="center"/>
              <w:rPr>
                <w:rFonts w:ascii="Arial" w:hAnsi="Arial" w:cs="Arial"/>
                <w:b/>
              </w:rPr>
            </w:pPr>
            <w:r>
              <w:rPr>
                <w:rFonts w:ascii="Arial" w:hAnsi="Arial" w:cs="Arial"/>
                <w:b/>
              </w:rPr>
              <w:t>7</w:t>
            </w:r>
          </w:p>
        </w:tc>
      </w:tr>
      <w:tr w:rsidR="001714AE" w:rsidRPr="004B552B" w14:paraId="17BFC24D" w14:textId="77777777" w:rsidTr="00AB594B">
        <w:trPr>
          <w:trHeight w:val="18"/>
        </w:trPr>
        <w:tc>
          <w:tcPr>
            <w:tcW w:w="4464" w:type="pct"/>
            <w:shd w:val="clear" w:color="auto" w:fill="auto"/>
          </w:tcPr>
          <w:p w14:paraId="0971E3AE" w14:textId="77777777" w:rsidR="001714AE" w:rsidRPr="004B552B" w:rsidRDefault="001714AE" w:rsidP="00FC42D5">
            <w:pPr>
              <w:tabs>
                <w:tab w:val="left" w:pos="1390"/>
              </w:tabs>
              <w:spacing w:after="180" w:line="360" w:lineRule="auto"/>
              <w:ind w:left="708"/>
              <w:rPr>
                <w:rFonts w:ascii="Arial" w:hAnsi="Arial" w:cs="Arial"/>
                <w:b/>
                <w:bCs/>
              </w:rPr>
            </w:pPr>
            <w:r w:rsidRPr="004B552B">
              <w:rPr>
                <w:rFonts w:ascii="Arial" w:hAnsi="Arial" w:cs="Arial"/>
                <w:b/>
                <w:bCs/>
              </w:rPr>
              <w:t>D. Criterios de Selección</w:t>
            </w:r>
          </w:p>
        </w:tc>
        <w:tc>
          <w:tcPr>
            <w:tcW w:w="536" w:type="pct"/>
            <w:shd w:val="clear" w:color="auto" w:fill="auto"/>
          </w:tcPr>
          <w:p w14:paraId="71384BC5" w14:textId="4091B5FE" w:rsidR="001714AE" w:rsidRPr="004B552B" w:rsidRDefault="00A06537" w:rsidP="00FC42D5">
            <w:pPr>
              <w:spacing w:line="360" w:lineRule="auto"/>
              <w:jc w:val="center"/>
              <w:rPr>
                <w:rFonts w:ascii="Arial" w:hAnsi="Arial" w:cs="Arial"/>
                <w:b/>
              </w:rPr>
            </w:pPr>
            <w:r w:rsidRPr="004B552B">
              <w:rPr>
                <w:rFonts w:ascii="Arial" w:hAnsi="Arial" w:cs="Arial"/>
                <w:b/>
              </w:rPr>
              <w:t>7</w:t>
            </w:r>
          </w:p>
        </w:tc>
      </w:tr>
      <w:tr w:rsidR="001714AE" w:rsidRPr="004B552B" w14:paraId="78BB7889" w14:textId="77777777" w:rsidTr="00AB594B">
        <w:trPr>
          <w:trHeight w:val="18"/>
        </w:trPr>
        <w:tc>
          <w:tcPr>
            <w:tcW w:w="4464" w:type="pct"/>
            <w:shd w:val="clear" w:color="auto" w:fill="auto"/>
          </w:tcPr>
          <w:p w14:paraId="328DAFA8" w14:textId="77777777" w:rsidR="001714AE" w:rsidRPr="004B552B" w:rsidRDefault="001714AE" w:rsidP="00FC42D5">
            <w:pPr>
              <w:spacing w:after="180" w:line="360" w:lineRule="auto"/>
              <w:ind w:left="708"/>
              <w:rPr>
                <w:rFonts w:ascii="Arial" w:hAnsi="Arial" w:cs="Arial"/>
                <w:b/>
                <w:bCs/>
              </w:rPr>
            </w:pPr>
            <w:r w:rsidRPr="004B552B">
              <w:rPr>
                <w:rFonts w:ascii="Arial" w:hAnsi="Arial" w:cs="Arial"/>
                <w:b/>
                <w:bCs/>
              </w:rPr>
              <w:t>E. Áreas Revisadas</w:t>
            </w:r>
          </w:p>
        </w:tc>
        <w:tc>
          <w:tcPr>
            <w:tcW w:w="536" w:type="pct"/>
            <w:shd w:val="clear" w:color="auto" w:fill="auto"/>
          </w:tcPr>
          <w:p w14:paraId="009895E7" w14:textId="237589A9" w:rsidR="001714AE" w:rsidRPr="004B552B" w:rsidRDefault="00A06537" w:rsidP="00FC42D5">
            <w:pPr>
              <w:spacing w:line="360" w:lineRule="auto"/>
              <w:jc w:val="center"/>
              <w:rPr>
                <w:rFonts w:ascii="Arial" w:hAnsi="Arial" w:cs="Arial"/>
                <w:b/>
              </w:rPr>
            </w:pPr>
            <w:r w:rsidRPr="004B552B">
              <w:rPr>
                <w:rFonts w:ascii="Arial" w:hAnsi="Arial" w:cs="Arial"/>
                <w:b/>
              </w:rPr>
              <w:t>8</w:t>
            </w:r>
          </w:p>
        </w:tc>
      </w:tr>
      <w:tr w:rsidR="001714AE" w:rsidRPr="004B552B" w14:paraId="38A0BC49" w14:textId="77777777" w:rsidTr="00AB594B">
        <w:trPr>
          <w:trHeight w:val="18"/>
        </w:trPr>
        <w:tc>
          <w:tcPr>
            <w:tcW w:w="4464" w:type="pct"/>
            <w:shd w:val="clear" w:color="auto" w:fill="auto"/>
          </w:tcPr>
          <w:p w14:paraId="4B0C13C2" w14:textId="77777777" w:rsidR="001714AE" w:rsidRPr="004B552B" w:rsidRDefault="001714AE" w:rsidP="00FC42D5">
            <w:pPr>
              <w:spacing w:after="180" w:line="360" w:lineRule="auto"/>
              <w:ind w:left="708"/>
              <w:rPr>
                <w:rFonts w:ascii="Arial" w:hAnsi="Arial" w:cs="Arial"/>
                <w:b/>
                <w:bCs/>
              </w:rPr>
            </w:pPr>
            <w:r w:rsidRPr="004B552B">
              <w:rPr>
                <w:rFonts w:ascii="Arial" w:hAnsi="Arial" w:cs="Arial"/>
                <w:b/>
                <w:bCs/>
              </w:rPr>
              <w:t>F. Procedimientos de Auditoría Aplicados</w:t>
            </w:r>
          </w:p>
        </w:tc>
        <w:tc>
          <w:tcPr>
            <w:tcW w:w="536" w:type="pct"/>
            <w:shd w:val="clear" w:color="auto" w:fill="auto"/>
          </w:tcPr>
          <w:p w14:paraId="295EE5C0" w14:textId="5434FA54" w:rsidR="001714AE" w:rsidRPr="004B552B" w:rsidRDefault="00915DB2" w:rsidP="00FC42D5">
            <w:pPr>
              <w:spacing w:line="360" w:lineRule="auto"/>
              <w:jc w:val="center"/>
              <w:rPr>
                <w:rFonts w:ascii="Arial" w:hAnsi="Arial" w:cs="Arial"/>
                <w:b/>
              </w:rPr>
            </w:pPr>
            <w:r>
              <w:rPr>
                <w:rFonts w:ascii="Arial" w:hAnsi="Arial" w:cs="Arial"/>
                <w:b/>
              </w:rPr>
              <w:t>9</w:t>
            </w:r>
            <w:bookmarkStart w:id="0" w:name="_GoBack"/>
            <w:bookmarkEnd w:id="0"/>
          </w:p>
        </w:tc>
      </w:tr>
      <w:tr w:rsidR="001714AE" w:rsidRPr="004B552B" w14:paraId="16F35F9A" w14:textId="77777777" w:rsidTr="00AB594B">
        <w:trPr>
          <w:trHeight w:val="18"/>
        </w:trPr>
        <w:tc>
          <w:tcPr>
            <w:tcW w:w="4464" w:type="pct"/>
            <w:shd w:val="clear" w:color="auto" w:fill="auto"/>
          </w:tcPr>
          <w:p w14:paraId="09640594" w14:textId="3CE234FA" w:rsidR="001714AE" w:rsidRPr="004B552B" w:rsidRDefault="00510071" w:rsidP="00FC42D5">
            <w:pPr>
              <w:spacing w:after="180" w:line="360" w:lineRule="auto"/>
              <w:ind w:left="708"/>
              <w:rPr>
                <w:rFonts w:ascii="Arial" w:hAnsi="Arial" w:cs="Arial"/>
                <w:b/>
                <w:bCs/>
              </w:rPr>
            </w:pPr>
            <w:r w:rsidRPr="004B552B">
              <w:rPr>
                <w:rFonts w:ascii="Arial" w:hAnsi="Arial" w:cs="Arial"/>
                <w:b/>
                <w:bCs/>
              </w:rPr>
              <w:t>G. Servidores Públicos que I</w:t>
            </w:r>
            <w:r w:rsidR="001714AE" w:rsidRPr="004B552B">
              <w:rPr>
                <w:rFonts w:ascii="Arial" w:hAnsi="Arial" w:cs="Arial"/>
                <w:b/>
                <w:bCs/>
              </w:rPr>
              <w:t>ntervinieron en la Auditoría</w:t>
            </w:r>
          </w:p>
        </w:tc>
        <w:tc>
          <w:tcPr>
            <w:tcW w:w="536" w:type="pct"/>
            <w:shd w:val="clear" w:color="auto" w:fill="auto"/>
          </w:tcPr>
          <w:p w14:paraId="5D36B610" w14:textId="3B940F24" w:rsidR="001714AE" w:rsidRPr="004B552B" w:rsidRDefault="001714AE" w:rsidP="00FC42D5">
            <w:pPr>
              <w:spacing w:line="360" w:lineRule="auto"/>
              <w:jc w:val="center"/>
              <w:rPr>
                <w:rFonts w:ascii="Arial" w:hAnsi="Arial" w:cs="Arial"/>
                <w:b/>
              </w:rPr>
            </w:pPr>
            <w:r w:rsidRPr="004B552B">
              <w:rPr>
                <w:rFonts w:ascii="Arial" w:hAnsi="Arial" w:cs="Arial"/>
                <w:b/>
              </w:rPr>
              <w:t>1</w:t>
            </w:r>
            <w:r w:rsidR="00976DFE" w:rsidRPr="004B552B">
              <w:rPr>
                <w:rFonts w:ascii="Arial" w:hAnsi="Arial" w:cs="Arial"/>
                <w:b/>
              </w:rPr>
              <w:t>0</w:t>
            </w:r>
          </w:p>
        </w:tc>
      </w:tr>
      <w:tr w:rsidR="001714AE" w:rsidRPr="004B552B" w14:paraId="447DAD22" w14:textId="77777777" w:rsidTr="00AB594B">
        <w:trPr>
          <w:trHeight w:val="18"/>
        </w:trPr>
        <w:tc>
          <w:tcPr>
            <w:tcW w:w="4464" w:type="pct"/>
            <w:shd w:val="clear" w:color="auto" w:fill="auto"/>
          </w:tcPr>
          <w:p w14:paraId="11A75DFB" w14:textId="77777777" w:rsidR="001714AE" w:rsidRPr="004B552B" w:rsidRDefault="001714AE" w:rsidP="00FC42D5">
            <w:pPr>
              <w:spacing w:after="180" w:line="360" w:lineRule="auto"/>
              <w:rPr>
                <w:rFonts w:ascii="Arial" w:hAnsi="Arial" w:cs="Arial"/>
                <w:b/>
                <w:bCs/>
              </w:rPr>
            </w:pPr>
            <w:r w:rsidRPr="004B552B">
              <w:rPr>
                <w:rFonts w:ascii="Arial" w:hAnsi="Arial" w:cs="Arial"/>
                <w:b/>
                <w:bCs/>
              </w:rPr>
              <w:t>I.2. CUMPLIMIENTO DE DISPOSICIONES LEGALES Y NORMATIVAS</w:t>
            </w:r>
          </w:p>
        </w:tc>
        <w:tc>
          <w:tcPr>
            <w:tcW w:w="536" w:type="pct"/>
            <w:shd w:val="clear" w:color="auto" w:fill="auto"/>
          </w:tcPr>
          <w:p w14:paraId="5CCD2127" w14:textId="48D75E68" w:rsidR="001714AE" w:rsidRPr="004B552B" w:rsidRDefault="001714AE" w:rsidP="00C1736C">
            <w:pPr>
              <w:spacing w:line="360" w:lineRule="auto"/>
              <w:jc w:val="center"/>
              <w:rPr>
                <w:rFonts w:ascii="Arial" w:hAnsi="Arial" w:cs="Arial"/>
                <w:b/>
              </w:rPr>
            </w:pPr>
            <w:r w:rsidRPr="004B552B">
              <w:rPr>
                <w:rFonts w:ascii="Arial" w:hAnsi="Arial" w:cs="Arial"/>
                <w:b/>
              </w:rPr>
              <w:t>1</w:t>
            </w:r>
            <w:r w:rsidR="00C1736C">
              <w:rPr>
                <w:rFonts w:ascii="Arial" w:hAnsi="Arial" w:cs="Arial"/>
                <w:b/>
              </w:rPr>
              <w:t>1</w:t>
            </w:r>
          </w:p>
        </w:tc>
      </w:tr>
      <w:tr w:rsidR="001714AE" w:rsidRPr="004B552B" w14:paraId="618D6191" w14:textId="77777777" w:rsidTr="00AB594B">
        <w:trPr>
          <w:trHeight w:val="18"/>
        </w:trPr>
        <w:tc>
          <w:tcPr>
            <w:tcW w:w="4464" w:type="pct"/>
            <w:shd w:val="clear" w:color="auto" w:fill="auto"/>
          </w:tcPr>
          <w:p w14:paraId="2467D4A2" w14:textId="77777777" w:rsidR="001714AE" w:rsidRPr="004B552B" w:rsidRDefault="001714AE" w:rsidP="00FC42D5">
            <w:pPr>
              <w:spacing w:after="180" w:line="360" w:lineRule="auto"/>
              <w:ind w:left="708"/>
              <w:rPr>
                <w:rFonts w:ascii="Arial" w:hAnsi="Arial" w:cs="Arial"/>
                <w:b/>
                <w:bCs/>
              </w:rPr>
            </w:pPr>
            <w:r w:rsidRPr="004B552B">
              <w:rPr>
                <w:rFonts w:ascii="Arial" w:hAnsi="Arial" w:cs="Arial"/>
                <w:b/>
                <w:bCs/>
              </w:rPr>
              <w:t>A. Conclusiones</w:t>
            </w:r>
          </w:p>
        </w:tc>
        <w:tc>
          <w:tcPr>
            <w:tcW w:w="536" w:type="pct"/>
            <w:shd w:val="clear" w:color="auto" w:fill="auto"/>
          </w:tcPr>
          <w:p w14:paraId="3E55182E" w14:textId="35AFF61E" w:rsidR="001714AE" w:rsidRPr="004B552B" w:rsidRDefault="001714AE" w:rsidP="00FC42D5">
            <w:pPr>
              <w:spacing w:line="360" w:lineRule="auto"/>
              <w:jc w:val="center"/>
              <w:rPr>
                <w:rFonts w:ascii="Arial" w:hAnsi="Arial" w:cs="Arial"/>
                <w:b/>
              </w:rPr>
            </w:pPr>
            <w:r w:rsidRPr="004B552B">
              <w:rPr>
                <w:rFonts w:ascii="Arial" w:hAnsi="Arial" w:cs="Arial"/>
                <w:b/>
              </w:rPr>
              <w:t>1</w:t>
            </w:r>
            <w:r w:rsidR="00976DFE" w:rsidRPr="004B552B">
              <w:rPr>
                <w:rFonts w:ascii="Arial" w:hAnsi="Arial" w:cs="Arial"/>
                <w:b/>
              </w:rPr>
              <w:t>1</w:t>
            </w:r>
          </w:p>
        </w:tc>
      </w:tr>
      <w:tr w:rsidR="00CC0C9E" w:rsidRPr="004B552B" w14:paraId="002CE641" w14:textId="77777777" w:rsidTr="00AB594B">
        <w:trPr>
          <w:trHeight w:val="18"/>
        </w:trPr>
        <w:tc>
          <w:tcPr>
            <w:tcW w:w="4464" w:type="pct"/>
            <w:shd w:val="clear" w:color="auto" w:fill="auto"/>
          </w:tcPr>
          <w:p w14:paraId="3BE6D9BF" w14:textId="1E040750" w:rsidR="00CC0C9E" w:rsidRPr="004B552B" w:rsidRDefault="00CC0C9E" w:rsidP="00FC42D5">
            <w:pPr>
              <w:spacing w:after="240" w:line="360" w:lineRule="auto"/>
              <w:ind w:right="190"/>
              <w:jc w:val="both"/>
              <w:rPr>
                <w:rFonts w:ascii="Arial" w:hAnsi="Arial" w:cs="Arial"/>
                <w:b/>
              </w:rPr>
            </w:pPr>
            <w:r w:rsidRPr="004B552B">
              <w:rPr>
                <w:rFonts w:ascii="Arial" w:hAnsi="Arial" w:cs="Arial"/>
                <w:b/>
              </w:rPr>
              <w:t>I.3. RESULTADOS DE LA FISCALIZACIÓN EFECTUADA</w:t>
            </w:r>
          </w:p>
        </w:tc>
        <w:tc>
          <w:tcPr>
            <w:tcW w:w="536" w:type="pct"/>
            <w:shd w:val="clear" w:color="auto" w:fill="auto"/>
          </w:tcPr>
          <w:p w14:paraId="223C58F1" w14:textId="7260FD9F" w:rsidR="00CC0C9E" w:rsidRPr="004B552B" w:rsidRDefault="00FC42D5" w:rsidP="00FC42D5">
            <w:pPr>
              <w:spacing w:after="240" w:line="360" w:lineRule="auto"/>
              <w:jc w:val="center"/>
              <w:rPr>
                <w:rFonts w:ascii="Arial" w:hAnsi="Arial" w:cs="Arial"/>
                <w:b/>
              </w:rPr>
            </w:pPr>
            <w:r w:rsidRPr="004B552B">
              <w:rPr>
                <w:rFonts w:ascii="Arial" w:hAnsi="Arial" w:cs="Arial"/>
                <w:b/>
              </w:rPr>
              <w:t>1</w:t>
            </w:r>
            <w:r w:rsidR="00C1736C">
              <w:rPr>
                <w:rFonts w:ascii="Arial" w:hAnsi="Arial" w:cs="Arial"/>
                <w:b/>
              </w:rPr>
              <w:t>2</w:t>
            </w:r>
          </w:p>
        </w:tc>
      </w:tr>
      <w:tr w:rsidR="001714AE" w:rsidRPr="004B552B" w14:paraId="794DFB94" w14:textId="77777777" w:rsidTr="00AB594B">
        <w:trPr>
          <w:trHeight w:val="434"/>
        </w:trPr>
        <w:tc>
          <w:tcPr>
            <w:tcW w:w="4464" w:type="pct"/>
            <w:shd w:val="clear" w:color="auto" w:fill="auto"/>
          </w:tcPr>
          <w:p w14:paraId="07E4F51C" w14:textId="77777777" w:rsidR="001714AE" w:rsidRPr="004B552B" w:rsidRDefault="001714AE" w:rsidP="00FC42D5">
            <w:pPr>
              <w:spacing w:after="240" w:line="360" w:lineRule="auto"/>
              <w:jc w:val="both"/>
              <w:rPr>
                <w:rFonts w:ascii="Arial" w:hAnsi="Arial" w:cs="Arial"/>
                <w:b/>
                <w:bCs/>
              </w:rPr>
            </w:pPr>
            <w:r w:rsidRPr="004B552B">
              <w:rPr>
                <w:rFonts w:ascii="Arial" w:hAnsi="Arial" w:cs="Arial"/>
                <w:b/>
                <w:bCs/>
              </w:rPr>
              <w:t>II. DICTAMEN DEL INFORME INDIVIDUAL DE AUDITORÍA</w:t>
            </w:r>
          </w:p>
        </w:tc>
        <w:tc>
          <w:tcPr>
            <w:tcW w:w="536" w:type="pct"/>
            <w:shd w:val="clear" w:color="auto" w:fill="auto"/>
          </w:tcPr>
          <w:p w14:paraId="759BE931" w14:textId="4C4C3FFE" w:rsidR="001714AE" w:rsidRPr="004B552B" w:rsidRDefault="001714AE" w:rsidP="00FC42D5">
            <w:pPr>
              <w:spacing w:after="240" w:line="360" w:lineRule="auto"/>
              <w:jc w:val="center"/>
              <w:rPr>
                <w:rFonts w:ascii="Arial" w:hAnsi="Arial" w:cs="Arial"/>
                <w:b/>
              </w:rPr>
            </w:pPr>
            <w:r w:rsidRPr="004B552B">
              <w:rPr>
                <w:rFonts w:ascii="Arial" w:hAnsi="Arial" w:cs="Arial"/>
                <w:b/>
              </w:rPr>
              <w:t>1</w:t>
            </w:r>
            <w:r w:rsidR="00C1736C">
              <w:rPr>
                <w:rFonts w:ascii="Arial" w:hAnsi="Arial" w:cs="Arial"/>
                <w:b/>
              </w:rPr>
              <w:t>2</w:t>
            </w:r>
          </w:p>
        </w:tc>
      </w:tr>
    </w:tbl>
    <w:p w14:paraId="79FDB086" w14:textId="36D4EFA7" w:rsidR="00C81854" w:rsidRDefault="00C81854" w:rsidP="00953D26">
      <w:pPr>
        <w:spacing w:line="360" w:lineRule="auto"/>
        <w:ind w:right="190"/>
        <w:rPr>
          <w:rFonts w:ascii="Arial" w:hAnsi="Arial" w:cs="Arial"/>
          <w:b/>
          <w:bCs/>
        </w:rPr>
      </w:pPr>
    </w:p>
    <w:p w14:paraId="7BE4B662" w14:textId="7CC05805" w:rsidR="00953D26" w:rsidRPr="004B552B" w:rsidRDefault="00953D26" w:rsidP="00953D26">
      <w:pPr>
        <w:spacing w:line="360" w:lineRule="auto"/>
        <w:ind w:right="190"/>
        <w:rPr>
          <w:rFonts w:ascii="Arial" w:hAnsi="Arial" w:cs="Arial"/>
          <w:b/>
          <w:bCs/>
          <w:sz w:val="12"/>
          <w:szCs w:val="12"/>
        </w:rPr>
      </w:pPr>
      <w:r w:rsidRPr="004B552B">
        <w:rPr>
          <w:rFonts w:ascii="Arial" w:hAnsi="Arial" w:cs="Arial"/>
          <w:b/>
          <w:bCs/>
        </w:rPr>
        <w:lastRenderedPageBreak/>
        <w:t>INTRODUCCIÓN</w:t>
      </w:r>
    </w:p>
    <w:p w14:paraId="497C204D" w14:textId="77777777" w:rsidR="00953D26" w:rsidRPr="004B552B" w:rsidRDefault="00953D26" w:rsidP="0061203F">
      <w:pPr>
        <w:spacing w:line="360" w:lineRule="auto"/>
        <w:ind w:right="190"/>
        <w:rPr>
          <w:rFonts w:ascii="Arial" w:hAnsi="Arial" w:cs="Arial"/>
          <w:b/>
          <w:bCs/>
          <w:sz w:val="12"/>
          <w:szCs w:val="12"/>
        </w:rPr>
      </w:pPr>
    </w:p>
    <w:p w14:paraId="5BC2BB6D" w14:textId="3177DEC9" w:rsidR="006A3E06" w:rsidRPr="004B552B" w:rsidRDefault="006A3E06" w:rsidP="006A3E06">
      <w:pPr>
        <w:spacing w:line="360" w:lineRule="auto"/>
        <w:ind w:right="190"/>
        <w:jc w:val="both"/>
        <w:rPr>
          <w:rFonts w:ascii="Arial" w:hAnsi="Arial" w:cs="Arial"/>
        </w:rPr>
      </w:pPr>
      <w:r w:rsidRPr="004B552B">
        <w:rPr>
          <w:rFonts w:ascii="Arial" w:hAnsi="Arial" w:cs="Arial"/>
        </w:rPr>
        <w:t>Por disposición contenida en los artículos 75, fracción XXIX, y 77 de la Constitución Política del Estado Libre y Soberano de Quintana Roo</w:t>
      </w:r>
      <w:r w:rsidR="00510071" w:rsidRPr="004B552B">
        <w:rPr>
          <w:rFonts w:ascii="Arial" w:hAnsi="Arial" w:cs="Arial"/>
        </w:rPr>
        <w:t>,</w:t>
      </w:r>
      <w:r w:rsidRPr="004B552B">
        <w:rPr>
          <w:rFonts w:ascii="Arial" w:hAnsi="Arial" w:cs="Arial"/>
        </w:rPr>
        <w:t xml:space="preserve">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76660C9E" w14:textId="77777777" w:rsidR="00D66077" w:rsidRPr="008E5118" w:rsidRDefault="00D66077" w:rsidP="00D66077">
      <w:pPr>
        <w:spacing w:line="360" w:lineRule="auto"/>
        <w:ind w:right="190"/>
        <w:jc w:val="both"/>
        <w:rPr>
          <w:rFonts w:ascii="Arial" w:hAnsi="Arial" w:cs="Arial"/>
          <w:sz w:val="20"/>
          <w:szCs w:val="20"/>
        </w:rPr>
      </w:pPr>
    </w:p>
    <w:p w14:paraId="212F8A2B" w14:textId="63241B3C" w:rsidR="00345C1A" w:rsidRPr="004B552B" w:rsidRDefault="00345C1A" w:rsidP="009F78C3">
      <w:pPr>
        <w:spacing w:line="360" w:lineRule="auto"/>
        <w:ind w:right="190"/>
        <w:jc w:val="both"/>
        <w:rPr>
          <w:rFonts w:ascii="Arial" w:hAnsi="Arial" w:cs="Arial"/>
        </w:rPr>
      </w:pPr>
      <w:r w:rsidRPr="004B552B">
        <w:rPr>
          <w:rFonts w:ascii="Arial" w:hAnsi="Arial" w:cs="Arial"/>
        </w:rPr>
        <w:t>Esta revisión se realiza</w:t>
      </w:r>
      <w:r w:rsidR="000C795B" w:rsidRPr="004B552B">
        <w:rPr>
          <w:rFonts w:ascii="Arial" w:hAnsi="Arial" w:cs="Arial"/>
        </w:rPr>
        <w:t xml:space="preserve"> con el objeto de </w:t>
      </w:r>
      <w:r w:rsidR="00D66077" w:rsidRPr="004B552B">
        <w:rPr>
          <w:rFonts w:ascii="Arial" w:hAnsi="Arial" w:cs="Arial"/>
        </w:rPr>
        <w:t xml:space="preserve">evaluar los resultados de la gestión financiera, derivado del </w:t>
      </w:r>
      <w:r w:rsidR="000C795B" w:rsidRPr="004B552B">
        <w:rPr>
          <w:rFonts w:ascii="Arial" w:hAnsi="Arial" w:cs="Arial"/>
        </w:rPr>
        <w:t xml:space="preserve">análisis de la Cuenta Pública a efecto de poder rendir el presente informe a esta H. </w:t>
      </w:r>
      <w:r w:rsidR="00785E8B" w:rsidRPr="004B552B">
        <w:rPr>
          <w:rFonts w:ascii="Arial" w:hAnsi="Arial" w:cs="Arial"/>
        </w:rPr>
        <w:t xml:space="preserve">XVII </w:t>
      </w:r>
      <w:r w:rsidR="000C795B" w:rsidRPr="004B552B">
        <w:rPr>
          <w:rFonts w:ascii="Arial" w:hAnsi="Arial" w:cs="Arial"/>
        </w:rPr>
        <w:t>Legislatura del Estado de Quintana Roo, con relación al manejo de la</w:t>
      </w:r>
      <w:r w:rsidR="00F966AD" w:rsidRPr="004B552B">
        <w:rPr>
          <w:rFonts w:ascii="Arial" w:hAnsi="Arial" w:cs="Arial"/>
        </w:rPr>
        <w:t xml:space="preserve"> </w:t>
      </w:r>
      <w:r w:rsidR="000C795B" w:rsidRPr="004B552B">
        <w:rPr>
          <w:rFonts w:ascii="Arial" w:hAnsi="Arial" w:cs="Arial"/>
        </w:rPr>
        <w:t>misma por parte de la autoridad</w:t>
      </w:r>
      <w:r w:rsidR="00F966AD" w:rsidRPr="004B552B">
        <w:rPr>
          <w:rFonts w:ascii="Arial" w:hAnsi="Arial" w:cs="Arial"/>
        </w:rPr>
        <w:t xml:space="preserve"> </w:t>
      </w:r>
      <w:r w:rsidR="00A97386" w:rsidRPr="004B552B">
        <w:rPr>
          <w:rFonts w:ascii="Arial" w:hAnsi="Arial" w:cs="Arial"/>
        </w:rPr>
        <w:t>correspondiente</w:t>
      </w:r>
      <w:r w:rsidR="000C795B" w:rsidRPr="004B552B">
        <w:rPr>
          <w:rFonts w:ascii="Arial" w:hAnsi="Arial" w:cs="Arial"/>
        </w:rPr>
        <w:t>.</w:t>
      </w:r>
    </w:p>
    <w:p w14:paraId="37D44E37" w14:textId="77777777" w:rsidR="00345C1A" w:rsidRPr="008E5118" w:rsidRDefault="00345C1A" w:rsidP="00B93F1F">
      <w:pPr>
        <w:spacing w:line="360" w:lineRule="auto"/>
        <w:ind w:right="190"/>
        <w:jc w:val="both"/>
        <w:rPr>
          <w:rFonts w:ascii="Arial" w:hAnsi="Arial" w:cs="Arial"/>
          <w:sz w:val="20"/>
          <w:szCs w:val="20"/>
        </w:rPr>
      </w:pPr>
    </w:p>
    <w:p w14:paraId="66C96F77" w14:textId="64EED4AF" w:rsidR="00345C1A" w:rsidRPr="004B552B" w:rsidRDefault="00345C1A" w:rsidP="00B93F1F">
      <w:pPr>
        <w:spacing w:line="360" w:lineRule="auto"/>
        <w:ind w:right="190"/>
        <w:jc w:val="both"/>
        <w:rPr>
          <w:rFonts w:ascii="Arial" w:hAnsi="Arial" w:cs="Arial"/>
        </w:rPr>
      </w:pPr>
      <w:r w:rsidRPr="004B552B">
        <w:rPr>
          <w:rFonts w:ascii="Arial" w:hAnsi="Arial" w:cs="Arial"/>
        </w:rPr>
        <w:t>La formulación, revisión y aprobación de la Cuenta Pública de</w:t>
      </w:r>
      <w:r w:rsidR="00C81E28" w:rsidRPr="004B552B">
        <w:rPr>
          <w:rFonts w:ascii="Arial" w:hAnsi="Arial" w:cs="Arial"/>
        </w:rPr>
        <w:t>l</w:t>
      </w:r>
      <w:r w:rsidR="001E265B" w:rsidRPr="004B552B">
        <w:rPr>
          <w:rFonts w:ascii="Arial" w:hAnsi="Arial" w:cs="Arial"/>
        </w:rPr>
        <w:t xml:space="preserve"> </w:t>
      </w:r>
      <w:r w:rsidR="00C81E28" w:rsidRPr="004B552B">
        <w:rPr>
          <w:rFonts w:ascii="Arial" w:hAnsi="Arial" w:cs="Arial"/>
          <w:b/>
        </w:rPr>
        <w:t>Fondo Mixto CONACYT- Gobierno del Estado de Quintana Roo</w:t>
      </w:r>
      <w:r w:rsidR="003C11B9" w:rsidRPr="004B552B">
        <w:rPr>
          <w:rFonts w:ascii="Arial" w:hAnsi="Arial" w:cs="Arial"/>
        </w:rPr>
        <w:t>, abarca</w:t>
      </w:r>
      <w:r w:rsidRPr="004B552B">
        <w:rPr>
          <w:rFonts w:ascii="Arial" w:hAnsi="Arial" w:cs="Arial"/>
        </w:rPr>
        <w:t xml:space="preserve"> la realización de actividades en las que participa la Legislatura del Estado</w:t>
      </w:r>
      <w:r w:rsidR="00675F09" w:rsidRPr="004B552B">
        <w:rPr>
          <w:rFonts w:ascii="Arial" w:hAnsi="Arial" w:cs="Arial"/>
        </w:rPr>
        <w:t>, las cuales</w:t>
      </w:r>
      <w:r w:rsidRPr="004B552B">
        <w:rPr>
          <w:rFonts w:ascii="Arial" w:hAnsi="Arial" w:cs="Arial"/>
        </w:rPr>
        <w:t xml:space="preserve"> comprenden:</w:t>
      </w:r>
    </w:p>
    <w:p w14:paraId="58C6201D" w14:textId="77777777" w:rsidR="00345C1A" w:rsidRPr="008E5118" w:rsidRDefault="00345C1A" w:rsidP="00B93F1F">
      <w:pPr>
        <w:spacing w:line="360" w:lineRule="auto"/>
        <w:ind w:right="190"/>
        <w:jc w:val="both"/>
        <w:rPr>
          <w:rFonts w:ascii="Arial" w:hAnsi="Arial" w:cs="Arial"/>
          <w:bCs/>
          <w:sz w:val="20"/>
          <w:szCs w:val="20"/>
        </w:rPr>
      </w:pPr>
    </w:p>
    <w:p w14:paraId="4388784C" w14:textId="1317DA86" w:rsidR="006A3E06" w:rsidRPr="004B552B" w:rsidRDefault="00345C1A" w:rsidP="006A3E06">
      <w:pPr>
        <w:spacing w:line="360" w:lineRule="auto"/>
        <w:ind w:right="190"/>
        <w:jc w:val="both"/>
        <w:rPr>
          <w:rFonts w:ascii="Arial" w:hAnsi="Arial" w:cs="Arial"/>
        </w:rPr>
      </w:pPr>
      <w:r w:rsidRPr="004B552B">
        <w:rPr>
          <w:rFonts w:ascii="Arial" w:hAnsi="Arial" w:cs="Arial"/>
          <w:b/>
        </w:rPr>
        <w:t>A.- El Proceso Administrativo</w:t>
      </w:r>
      <w:r w:rsidRPr="004B552B">
        <w:rPr>
          <w:rFonts w:ascii="Arial" w:hAnsi="Arial" w:cs="Arial"/>
        </w:rPr>
        <w:t xml:space="preserve">; </w:t>
      </w:r>
      <w:r w:rsidR="001075DF" w:rsidRPr="004B552B">
        <w:rPr>
          <w:rFonts w:ascii="Arial" w:hAnsi="Arial" w:cs="Arial"/>
        </w:rPr>
        <w:t>que es des</w:t>
      </w:r>
      <w:r w:rsidR="00014E52" w:rsidRPr="004B552B">
        <w:rPr>
          <w:rFonts w:ascii="Arial" w:hAnsi="Arial" w:cs="Arial"/>
        </w:rPr>
        <w:t xml:space="preserve">arrollado fundamentalmente por </w:t>
      </w:r>
      <w:r w:rsidR="00C81E28" w:rsidRPr="004B552B">
        <w:rPr>
          <w:rFonts w:ascii="Arial" w:hAnsi="Arial" w:cs="Arial"/>
        </w:rPr>
        <w:t xml:space="preserve">el </w:t>
      </w:r>
      <w:r w:rsidR="00245CBD" w:rsidRPr="004B552B">
        <w:rPr>
          <w:rFonts w:ascii="Arial" w:hAnsi="Arial" w:cs="Arial"/>
          <w:b/>
        </w:rPr>
        <w:t>Fondo Mixto CONACYT-</w:t>
      </w:r>
      <w:r w:rsidR="00C81E28" w:rsidRPr="004B552B">
        <w:rPr>
          <w:rFonts w:ascii="Arial" w:hAnsi="Arial" w:cs="Arial"/>
          <w:b/>
        </w:rPr>
        <w:t>Gobierno</w:t>
      </w:r>
      <w:r w:rsidR="006A3E06" w:rsidRPr="004B552B">
        <w:rPr>
          <w:rFonts w:ascii="Arial" w:hAnsi="Arial" w:cs="Arial"/>
          <w:b/>
        </w:rPr>
        <w:t xml:space="preserve"> del Estado de Quintana Roo</w:t>
      </w:r>
      <w:r w:rsidR="006A3E06" w:rsidRPr="004B552B">
        <w:rPr>
          <w:rFonts w:ascii="Arial" w:hAnsi="Arial" w:cs="Arial"/>
        </w:rPr>
        <w:t xml:space="preserve">, </w:t>
      </w:r>
      <w:r w:rsidR="00086D09" w:rsidRPr="004B552B">
        <w:rPr>
          <w:rFonts w:ascii="Arial" w:hAnsi="Arial" w:cs="Arial"/>
        </w:rPr>
        <w:t>en</w:t>
      </w:r>
      <w:r w:rsidR="001075DF" w:rsidRPr="004B552B">
        <w:rPr>
          <w:rFonts w:ascii="Arial" w:hAnsi="Arial" w:cs="Arial"/>
        </w:rPr>
        <w:t xml:space="preserve"> la integración de la Cuenta Pública</w:t>
      </w:r>
      <w:r w:rsidR="000C5FEB" w:rsidRPr="004B552B">
        <w:rPr>
          <w:rFonts w:ascii="Arial" w:hAnsi="Arial" w:cs="Arial"/>
        </w:rPr>
        <w:t xml:space="preserve">, </w:t>
      </w:r>
      <w:r w:rsidR="001075DF" w:rsidRPr="004B552B">
        <w:rPr>
          <w:rFonts w:ascii="Arial" w:hAnsi="Arial" w:cs="Arial"/>
        </w:rPr>
        <w:t xml:space="preserve">la cual </w:t>
      </w:r>
      <w:r w:rsidR="003C11B9" w:rsidRPr="004B552B">
        <w:rPr>
          <w:rFonts w:ascii="Arial" w:hAnsi="Arial" w:cs="Arial"/>
        </w:rPr>
        <w:t>incluye</w:t>
      </w:r>
      <w:r w:rsidR="001075DF" w:rsidRPr="004B552B">
        <w:rPr>
          <w:rFonts w:ascii="Arial" w:hAnsi="Arial" w:cs="Arial"/>
        </w:rPr>
        <w:t xml:space="preserve"> los resultados de las labores administrativas realizadas en el </w:t>
      </w:r>
      <w:r w:rsidR="009F435A" w:rsidRPr="004B552B">
        <w:rPr>
          <w:rFonts w:ascii="Arial" w:hAnsi="Arial" w:cs="Arial"/>
        </w:rPr>
        <w:t xml:space="preserve">ejercicio fiscal </w:t>
      </w:r>
      <w:r w:rsidR="0076145E" w:rsidRPr="004B552B">
        <w:rPr>
          <w:rFonts w:ascii="Arial" w:hAnsi="Arial" w:cs="Arial"/>
        </w:rPr>
        <w:t>2022</w:t>
      </w:r>
      <w:r w:rsidR="006A3E06" w:rsidRPr="004B552B">
        <w:rPr>
          <w:rFonts w:ascii="Arial" w:hAnsi="Arial" w:cs="Arial"/>
        </w:rPr>
        <w:t xml:space="preserve">, </w:t>
      </w:r>
      <w:r w:rsidR="001075DF" w:rsidRPr="004B552B">
        <w:rPr>
          <w:rFonts w:ascii="Arial" w:hAnsi="Arial" w:cs="Arial"/>
        </w:rPr>
        <w:t>así como las principales políticas financieras, económicas y sociales que influyeron en el resultado</w:t>
      </w:r>
      <w:r w:rsidR="009D2849" w:rsidRPr="004B552B">
        <w:rPr>
          <w:rFonts w:ascii="Arial" w:hAnsi="Arial" w:cs="Arial"/>
        </w:rPr>
        <w:t xml:space="preserve"> de los</w:t>
      </w:r>
      <w:r w:rsidR="001075DF" w:rsidRPr="004B552B">
        <w:rPr>
          <w:rFonts w:ascii="Arial" w:hAnsi="Arial" w:cs="Arial"/>
        </w:rPr>
        <w:t xml:space="preserve"> </w:t>
      </w:r>
      <w:r w:rsidR="006A3E06" w:rsidRPr="004B552B">
        <w:rPr>
          <w:rFonts w:ascii="Arial" w:hAnsi="Arial" w:cs="Arial"/>
        </w:rPr>
        <w:t>ingresos recaudados y los gastos ejercidos por la entidad fiscalizada.</w:t>
      </w:r>
    </w:p>
    <w:p w14:paraId="20CCEFCF" w14:textId="64519537" w:rsidR="009044A0" w:rsidRPr="008E5118" w:rsidRDefault="009044A0" w:rsidP="006A3E06">
      <w:pPr>
        <w:spacing w:line="360" w:lineRule="auto"/>
        <w:ind w:right="190"/>
        <w:jc w:val="both"/>
        <w:rPr>
          <w:rFonts w:ascii="Arial" w:hAnsi="Arial" w:cs="Arial"/>
          <w:sz w:val="20"/>
          <w:szCs w:val="20"/>
        </w:rPr>
      </w:pPr>
    </w:p>
    <w:p w14:paraId="3B5FC50C" w14:textId="5FF94A0C" w:rsidR="001075DF" w:rsidRPr="004B552B" w:rsidRDefault="00345C1A" w:rsidP="00FB736A">
      <w:pPr>
        <w:tabs>
          <w:tab w:val="left" w:pos="9498"/>
        </w:tabs>
        <w:spacing w:line="360" w:lineRule="auto"/>
        <w:ind w:right="190"/>
        <w:jc w:val="both"/>
        <w:rPr>
          <w:rFonts w:ascii="Arial" w:hAnsi="Arial" w:cs="Arial"/>
          <w:b/>
        </w:rPr>
      </w:pPr>
      <w:r w:rsidRPr="004B552B">
        <w:rPr>
          <w:rFonts w:ascii="Arial" w:hAnsi="Arial" w:cs="Arial"/>
          <w:b/>
        </w:rPr>
        <w:t>B.- El Proceso de Vigilancia</w:t>
      </w:r>
      <w:r w:rsidRPr="004B552B">
        <w:rPr>
          <w:rFonts w:ascii="Arial" w:hAnsi="Arial" w:cs="Arial"/>
        </w:rPr>
        <w:t xml:space="preserve">; </w:t>
      </w:r>
      <w:r w:rsidR="0031062A" w:rsidRPr="004B552B">
        <w:rPr>
          <w:rFonts w:ascii="Arial" w:hAnsi="Arial" w:cs="Arial"/>
        </w:rPr>
        <w:t>que es desarrollado por la Legislatura del Estado con apoyo de la Auditoría Superior del Estado,</w:t>
      </w:r>
      <w:r w:rsidR="009A59D7" w:rsidRPr="004B552B">
        <w:rPr>
          <w:rFonts w:ascii="Arial" w:hAnsi="Arial" w:cs="Arial"/>
        </w:rPr>
        <w:t xml:space="preserve"> cuya función es la revisión y fiscalización superior de la gestión financiera, </w:t>
      </w:r>
      <w:r w:rsidR="00EE20EC" w:rsidRPr="004B552B">
        <w:rPr>
          <w:rFonts w:ascii="Arial" w:hAnsi="Arial" w:cs="Arial"/>
        </w:rPr>
        <w:t>teniendo</w:t>
      </w:r>
      <w:r w:rsidR="009A59D7" w:rsidRPr="004B552B">
        <w:rPr>
          <w:rFonts w:ascii="Arial" w:hAnsi="Arial" w:cs="Arial"/>
        </w:rPr>
        <w:t xml:space="preserve"> carácter </w:t>
      </w:r>
      <w:r w:rsidR="00EE20EC" w:rsidRPr="004B552B">
        <w:rPr>
          <w:rFonts w:ascii="Arial" w:hAnsi="Arial" w:cs="Arial"/>
        </w:rPr>
        <w:t xml:space="preserve">de </w:t>
      </w:r>
      <w:r w:rsidR="009A59D7" w:rsidRPr="004B552B">
        <w:rPr>
          <w:rFonts w:ascii="Arial" w:hAnsi="Arial" w:cs="Arial"/>
        </w:rPr>
        <w:t>extern</w:t>
      </w:r>
      <w:r w:rsidR="00D66077" w:rsidRPr="004B552B">
        <w:rPr>
          <w:rFonts w:ascii="Arial" w:hAnsi="Arial" w:cs="Arial"/>
        </w:rPr>
        <w:t>a</w:t>
      </w:r>
      <w:r w:rsidR="009A59D7" w:rsidRPr="004B552B">
        <w:rPr>
          <w:rFonts w:ascii="Arial" w:hAnsi="Arial" w:cs="Arial"/>
        </w:rPr>
        <w:t xml:space="preserve"> y por lo tanto se efectúa de manera independiente y autónoma de cualquier otra forma de control o fiscalización que realicen los órganos internos de control,</w:t>
      </w:r>
      <w:bookmarkStart w:id="1" w:name="_Hlk11404101"/>
      <w:r w:rsidR="00C553E4" w:rsidRPr="004B552B">
        <w:rPr>
          <w:rFonts w:ascii="Arial" w:hAnsi="Arial" w:cs="Arial"/>
        </w:rPr>
        <w:t xml:space="preserve"> </w:t>
      </w:r>
      <w:r w:rsidR="00EE20EC" w:rsidRPr="004B552B">
        <w:rPr>
          <w:rFonts w:ascii="Arial" w:hAnsi="Arial" w:cs="Arial"/>
        </w:rPr>
        <w:t>ejecutándose una vez</w:t>
      </w:r>
      <w:r w:rsidR="00C553E4" w:rsidRPr="004B552B">
        <w:rPr>
          <w:rFonts w:ascii="Arial" w:hAnsi="Arial" w:cs="Arial"/>
        </w:rPr>
        <w:t xml:space="preserve"> que el programa anual de auditoría esté aprobado y publicado en su página de internet, par</w:t>
      </w:r>
      <w:r w:rsidR="00D66077" w:rsidRPr="004B552B">
        <w:rPr>
          <w:rFonts w:ascii="Arial" w:hAnsi="Arial" w:cs="Arial"/>
        </w:rPr>
        <w:t xml:space="preserve">a efectos de </w:t>
      </w:r>
      <w:r w:rsidR="001279B3" w:rsidRPr="004B552B">
        <w:rPr>
          <w:rFonts w:ascii="Arial" w:hAnsi="Arial" w:cs="Arial"/>
        </w:rPr>
        <w:t xml:space="preserve">comprobar </w:t>
      </w:r>
      <w:r w:rsidR="0031062A" w:rsidRPr="004B552B">
        <w:rPr>
          <w:rFonts w:ascii="Arial" w:hAnsi="Arial" w:cs="Arial"/>
        </w:rPr>
        <w:t>el cumplimiento</w:t>
      </w:r>
      <w:r w:rsidR="00BB679F" w:rsidRPr="004B552B">
        <w:rPr>
          <w:rFonts w:ascii="Arial" w:hAnsi="Arial" w:cs="Arial"/>
        </w:rPr>
        <w:t xml:space="preserve"> de las </w:t>
      </w:r>
      <w:bookmarkStart w:id="2" w:name="_Hlk11355006"/>
      <w:r w:rsidR="00BB679F" w:rsidRPr="004B552B">
        <w:rPr>
          <w:rFonts w:ascii="Arial" w:hAnsi="Arial" w:cs="Arial"/>
        </w:rPr>
        <w:t>disposiciones legales y normativas aplicables</w:t>
      </w:r>
      <w:bookmarkEnd w:id="2"/>
      <w:r w:rsidR="00BB679F" w:rsidRPr="004B552B">
        <w:rPr>
          <w:rFonts w:ascii="Arial" w:hAnsi="Arial" w:cs="Arial"/>
        </w:rPr>
        <w:t>,</w:t>
      </w:r>
      <w:r w:rsidR="0031062A" w:rsidRPr="004B552B">
        <w:rPr>
          <w:rFonts w:ascii="Arial" w:hAnsi="Arial" w:cs="Arial"/>
        </w:rPr>
        <w:t xml:space="preserve"> </w:t>
      </w:r>
      <w:r w:rsidR="001279B3" w:rsidRPr="004B552B">
        <w:rPr>
          <w:rFonts w:ascii="Arial" w:hAnsi="Arial" w:cs="Arial"/>
        </w:rPr>
        <w:t xml:space="preserve">en cuanto a la recaudación, manejo, custodia y aplicación </w:t>
      </w:r>
      <w:r w:rsidR="00D66077" w:rsidRPr="004B552B">
        <w:rPr>
          <w:rFonts w:ascii="Arial" w:hAnsi="Arial" w:cs="Arial"/>
        </w:rPr>
        <w:t xml:space="preserve">de </w:t>
      </w:r>
      <w:r w:rsidR="0031062A" w:rsidRPr="004B552B">
        <w:rPr>
          <w:rFonts w:ascii="Arial" w:hAnsi="Arial" w:cs="Arial"/>
        </w:rPr>
        <w:t xml:space="preserve">los ingresos y gastos públicos, </w:t>
      </w:r>
      <w:bookmarkEnd w:id="1"/>
      <w:r w:rsidR="0031062A" w:rsidRPr="004B552B">
        <w:rPr>
          <w:rFonts w:ascii="Arial" w:hAnsi="Arial" w:cs="Arial"/>
        </w:rPr>
        <w:t xml:space="preserve">y todo lo </w:t>
      </w:r>
      <w:r w:rsidR="0031062A" w:rsidRPr="004B552B">
        <w:rPr>
          <w:rFonts w:ascii="Arial" w:hAnsi="Arial" w:cs="Arial"/>
        </w:rPr>
        <w:lastRenderedPageBreak/>
        <w:t xml:space="preserve">relacionado con la actividad financiera-administrativa </w:t>
      </w:r>
      <w:r w:rsidR="001075DF" w:rsidRPr="004B552B">
        <w:rPr>
          <w:rFonts w:ascii="Arial" w:hAnsi="Arial" w:cs="Arial"/>
        </w:rPr>
        <w:t>de</w:t>
      </w:r>
      <w:r w:rsidR="007A2FD8" w:rsidRPr="004B552B">
        <w:rPr>
          <w:rFonts w:ascii="Arial" w:hAnsi="Arial" w:cs="Arial"/>
        </w:rPr>
        <w:t xml:space="preserve">l </w:t>
      </w:r>
      <w:r w:rsidR="007A2FD8" w:rsidRPr="004B552B">
        <w:rPr>
          <w:rFonts w:ascii="Arial" w:hAnsi="Arial" w:cs="Arial"/>
          <w:b/>
        </w:rPr>
        <w:t xml:space="preserve">Fondo Mixto CONACYT- Gobierno </w:t>
      </w:r>
      <w:r w:rsidR="006A3E06" w:rsidRPr="004B552B">
        <w:rPr>
          <w:rFonts w:ascii="Arial" w:hAnsi="Arial" w:cs="Arial"/>
          <w:b/>
        </w:rPr>
        <w:t>del Estado de Quintana Roo.</w:t>
      </w:r>
    </w:p>
    <w:p w14:paraId="641736BF" w14:textId="77777777" w:rsidR="00E95869" w:rsidRPr="008E5118" w:rsidRDefault="00E95869" w:rsidP="00B93F1F">
      <w:pPr>
        <w:spacing w:line="360" w:lineRule="auto"/>
        <w:ind w:right="190"/>
        <w:jc w:val="both"/>
        <w:rPr>
          <w:rFonts w:ascii="Arial" w:hAnsi="Arial" w:cs="Arial"/>
          <w:sz w:val="20"/>
          <w:szCs w:val="20"/>
        </w:rPr>
      </w:pPr>
    </w:p>
    <w:p w14:paraId="07B9E5A9" w14:textId="6E97FA0B" w:rsidR="007D572C" w:rsidRPr="004B552B" w:rsidRDefault="00F258F3" w:rsidP="009F78C3">
      <w:pPr>
        <w:spacing w:line="360" w:lineRule="auto"/>
        <w:ind w:right="190"/>
        <w:jc w:val="both"/>
        <w:rPr>
          <w:rFonts w:ascii="Arial" w:hAnsi="Arial" w:cs="Arial"/>
        </w:rPr>
      </w:pPr>
      <w:r w:rsidRPr="004B552B">
        <w:rPr>
          <w:rFonts w:ascii="Arial" w:hAnsi="Arial" w:cs="Arial"/>
        </w:rPr>
        <w:t>En la Cuenta Pública de</w:t>
      </w:r>
      <w:r w:rsidR="007A2FD8" w:rsidRPr="004B552B">
        <w:rPr>
          <w:rFonts w:ascii="Arial" w:hAnsi="Arial" w:cs="Arial"/>
        </w:rPr>
        <w:t xml:space="preserve">l </w:t>
      </w:r>
      <w:r w:rsidR="00245CBD" w:rsidRPr="004B552B">
        <w:rPr>
          <w:rFonts w:ascii="Arial" w:hAnsi="Arial" w:cs="Arial"/>
          <w:b/>
        </w:rPr>
        <w:t>Fondo Mixto CONACYT-</w:t>
      </w:r>
      <w:r w:rsidR="007A2FD8" w:rsidRPr="004B552B">
        <w:rPr>
          <w:rFonts w:ascii="Arial" w:hAnsi="Arial" w:cs="Arial"/>
          <w:b/>
        </w:rPr>
        <w:t>Gobierno del Estado de Quintana Roo</w:t>
      </w:r>
      <w:r w:rsidR="009F78C3" w:rsidRPr="004B552B">
        <w:rPr>
          <w:rFonts w:ascii="Arial" w:hAnsi="Arial" w:cs="Arial"/>
        </w:rPr>
        <w:t>,</w:t>
      </w:r>
      <w:r w:rsidR="007A2FD8" w:rsidRPr="004B552B">
        <w:rPr>
          <w:rFonts w:ascii="Arial" w:hAnsi="Arial" w:cs="Arial"/>
        </w:rPr>
        <w:t xml:space="preserve"> </w:t>
      </w:r>
      <w:r w:rsidRPr="004B552B">
        <w:rPr>
          <w:rFonts w:ascii="Arial" w:hAnsi="Arial" w:cs="Arial"/>
        </w:rPr>
        <w:t xml:space="preserve">correspondiente al ejercicio fiscal </w:t>
      </w:r>
      <w:r w:rsidR="0076145E" w:rsidRPr="004B552B">
        <w:rPr>
          <w:rFonts w:ascii="Arial" w:hAnsi="Arial" w:cs="Arial"/>
        </w:rPr>
        <w:t>2022</w:t>
      </w:r>
      <w:r w:rsidR="006A3E06" w:rsidRPr="004B552B">
        <w:rPr>
          <w:rFonts w:ascii="Arial" w:hAnsi="Arial" w:cs="Arial"/>
        </w:rPr>
        <w:t xml:space="preserve">, </w:t>
      </w:r>
      <w:r w:rsidRPr="004B552B">
        <w:rPr>
          <w:rFonts w:ascii="Arial" w:hAnsi="Arial" w:cs="Arial"/>
        </w:rPr>
        <w:t>se encuentra reflejad</w:t>
      </w:r>
      <w:r w:rsidR="00424116" w:rsidRPr="004B552B">
        <w:rPr>
          <w:rFonts w:ascii="Arial" w:hAnsi="Arial" w:cs="Arial"/>
        </w:rPr>
        <w:t>a</w:t>
      </w:r>
      <w:r w:rsidRPr="004B552B">
        <w:rPr>
          <w:rFonts w:ascii="Arial" w:hAnsi="Arial" w:cs="Arial"/>
        </w:rPr>
        <w:t xml:space="preserve"> </w:t>
      </w:r>
      <w:r w:rsidR="00424116" w:rsidRPr="004B552B">
        <w:rPr>
          <w:rFonts w:ascii="Arial" w:hAnsi="Arial" w:cs="Arial"/>
        </w:rPr>
        <w:t xml:space="preserve">la </w:t>
      </w:r>
      <w:r w:rsidR="006A3E06" w:rsidRPr="004B552B">
        <w:rPr>
          <w:rFonts w:ascii="Arial" w:hAnsi="Arial" w:cs="Arial"/>
        </w:rPr>
        <w:t>recaudación del ingreso y el ejercicio del gast</w:t>
      </w:r>
      <w:r w:rsidR="00510071" w:rsidRPr="004B552B">
        <w:rPr>
          <w:rFonts w:ascii="Arial" w:hAnsi="Arial" w:cs="Arial"/>
        </w:rPr>
        <w:t>o público de recursos estatales</w:t>
      </w:r>
      <w:r w:rsidR="006A3E06" w:rsidRPr="004B552B">
        <w:rPr>
          <w:rFonts w:ascii="Arial" w:hAnsi="Arial" w:cs="Arial"/>
        </w:rPr>
        <w:t xml:space="preserve">. La Cuenta Pública fue entregada a la Auditoría Superior del Estado, en fecha </w:t>
      </w:r>
      <w:r w:rsidR="0076145E" w:rsidRPr="004B552B">
        <w:rPr>
          <w:rFonts w:ascii="Arial" w:hAnsi="Arial" w:cs="Arial"/>
        </w:rPr>
        <w:t>26 de abril de 2023</w:t>
      </w:r>
      <w:r w:rsidR="007D572C" w:rsidRPr="004B552B">
        <w:rPr>
          <w:rFonts w:ascii="Arial" w:hAnsi="Arial" w:cs="Arial"/>
        </w:rPr>
        <w:t xml:space="preserve">, con oficio No. </w:t>
      </w:r>
      <w:r w:rsidR="0076145E" w:rsidRPr="004B552B">
        <w:rPr>
          <w:rFonts w:ascii="Arial" w:hAnsi="Arial" w:cs="Arial"/>
        </w:rPr>
        <w:t>COQCYT/DG/00206</w:t>
      </w:r>
      <w:r w:rsidR="007D572C" w:rsidRPr="004B552B">
        <w:rPr>
          <w:rFonts w:ascii="Arial" w:hAnsi="Arial" w:cs="Arial"/>
        </w:rPr>
        <w:t>/</w:t>
      </w:r>
      <w:r w:rsidR="0076145E" w:rsidRPr="004B552B">
        <w:rPr>
          <w:rFonts w:ascii="Arial" w:hAnsi="Arial" w:cs="Arial"/>
        </w:rPr>
        <w:t>2023</w:t>
      </w:r>
      <w:r w:rsidR="007D572C" w:rsidRPr="004B552B">
        <w:rPr>
          <w:rFonts w:ascii="Arial" w:hAnsi="Arial" w:cs="Arial"/>
        </w:rPr>
        <w:t>.</w:t>
      </w:r>
    </w:p>
    <w:p w14:paraId="28360F93" w14:textId="117DC078" w:rsidR="00F258F3" w:rsidRPr="008E5118" w:rsidRDefault="00F258F3" w:rsidP="006A3E06">
      <w:pPr>
        <w:spacing w:line="360" w:lineRule="auto"/>
        <w:ind w:right="190"/>
        <w:jc w:val="both"/>
        <w:rPr>
          <w:rFonts w:ascii="Arial" w:hAnsi="Arial" w:cs="Arial"/>
          <w:sz w:val="20"/>
          <w:szCs w:val="20"/>
        </w:rPr>
      </w:pPr>
    </w:p>
    <w:p w14:paraId="082645D8" w14:textId="5357ED6B" w:rsidR="0051225F" w:rsidRPr="004B552B" w:rsidRDefault="006A3E06" w:rsidP="006A3E06">
      <w:pPr>
        <w:spacing w:line="360" w:lineRule="auto"/>
        <w:ind w:right="190"/>
        <w:jc w:val="both"/>
        <w:rPr>
          <w:rFonts w:ascii="Arial" w:hAnsi="Arial" w:cs="Arial"/>
        </w:rPr>
      </w:pPr>
      <w:r w:rsidRPr="004B552B">
        <w:rPr>
          <w:rFonts w:ascii="Arial" w:hAnsi="Arial" w:cs="Arial"/>
        </w:rPr>
        <w:t xml:space="preserve">El C. Auditor Superior del Estado de Quintana Roo, de conformidad con lo dispuesto en los artículos 8, 19 fracción I y 86 fracción IV, de la Ley de Fiscalización y Rendición de Cuentas del Estado de Quintana Roo, aprobó en fecha </w:t>
      </w:r>
      <w:r w:rsidR="0076145E" w:rsidRPr="004B552B">
        <w:rPr>
          <w:rFonts w:ascii="Arial" w:hAnsi="Arial" w:cs="Arial"/>
        </w:rPr>
        <w:t>15 de marzo</w:t>
      </w:r>
      <w:r w:rsidRPr="004B552B">
        <w:rPr>
          <w:rFonts w:ascii="Arial" w:hAnsi="Arial" w:cs="Arial"/>
        </w:rPr>
        <w:t xml:space="preserve"> de 202</w:t>
      </w:r>
      <w:r w:rsidR="0076145E" w:rsidRPr="004B552B">
        <w:rPr>
          <w:rFonts w:ascii="Arial" w:hAnsi="Arial" w:cs="Arial"/>
        </w:rPr>
        <w:t>3</w:t>
      </w:r>
      <w:r w:rsidR="001B17BC" w:rsidRPr="004B552B">
        <w:rPr>
          <w:rFonts w:ascii="Arial" w:hAnsi="Arial" w:cs="Arial"/>
        </w:rPr>
        <w:t>,</w:t>
      </w:r>
      <w:r w:rsidRPr="004B552B">
        <w:rPr>
          <w:rFonts w:ascii="Arial" w:hAnsi="Arial" w:cs="Arial"/>
        </w:rPr>
        <w:t xml:space="preserve"> mediante acuerdo administrativo, el Programa Anual de Auditorías, Visitas e Inspecciones (PAA</w:t>
      </w:r>
      <w:r w:rsidR="0076145E" w:rsidRPr="004B552B">
        <w:rPr>
          <w:rFonts w:ascii="Arial" w:hAnsi="Arial" w:cs="Arial"/>
        </w:rPr>
        <w:t>VI), correspondiente al año 2023</w:t>
      </w:r>
      <w:r w:rsidRPr="004B552B">
        <w:rPr>
          <w:rFonts w:ascii="Arial" w:hAnsi="Arial" w:cs="Arial"/>
        </w:rPr>
        <w:t>, para la fiscalización su</w:t>
      </w:r>
      <w:r w:rsidR="0076145E" w:rsidRPr="004B552B">
        <w:rPr>
          <w:rFonts w:ascii="Arial" w:hAnsi="Arial" w:cs="Arial"/>
        </w:rPr>
        <w:t>perior de la Cuenta Pública 2022</w:t>
      </w:r>
      <w:r w:rsidRPr="004B552B">
        <w:rPr>
          <w:rFonts w:ascii="Arial" w:hAnsi="Arial" w:cs="Arial"/>
        </w:rPr>
        <w:t>, el cual fue expedido y publicado en el portal web de la Auditoría Superior del Estado de Quintana Roo.</w:t>
      </w:r>
    </w:p>
    <w:p w14:paraId="1F01C9F4" w14:textId="72AC7AC8" w:rsidR="0051225F" w:rsidRPr="008E5118" w:rsidRDefault="0051225F" w:rsidP="00B93F1F">
      <w:pPr>
        <w:spacing w:line="360" w:lineRule="auto"/>
        <w:ind w:right="190"/>
        <w:jc w:val="both"/>
        <w:rPr>
          <w:rFonts w:ascii="Arial" w:hAnsi="Arial" w:cs="Arial"/>
          <w:sz w:val="20"/>
          <w:szCs w:val="20"/>
        </w:rPr>
      </w:pPr>
    </w:p>
    <w:p w14:paraId="62887643" w14:textId="4F9786AD" w:rsidR="00114D39" w:rsidRPr="004B552B" w:rsidRDefault="00114D39" w:rsidP="00114D39">
      <w:pPr>
        <w:spacing w:line="360" w:lineRule="auto"/>
        <w:ind w:right="190"/>
        <w:jc w:val="both"/>
        <w:rPr>
          <w:rFonts w:ascii="Arial" w:hAnsi="Arial" w:cs="Arial"/>
        </w:rPr>
      </w:pPr>
      <w:r w:rsidRPr="004B552B">
        <w:rPr>
          <w:rFonts w:ascii="Arial" w:hAnsi="Arial" w:cs="Arial"/>
        </w:rPr>
        <w:t>Por lo anterior y en cumplimiento a los artículos 2, 3</w:t>
      </w:r>
      <w:r w:rsidR="007E41F7" w:rsidRPr="004B552B">
        <w:rPr>
          <w:rFonts w:ascii="Arial" w:hAnsi="Arial" w:cs="Arial"/>
        </w:rPr>
        <w:t xml:space="preserve">, 4, 5, 6 fracciones I, II y XX, </w:t>
      </w:r>
      <w:r w:rsidRPr="004B552B">
        <w:rPr>
          <w:rFonts w:ascii="Arial" w:hAnsi="Arial" w:cs="Arial"/>
        </w:rPr>
        <w:t xml:space="preserve">16, 17, 19 fracciones I, VI, VII, VIII, XII, XV, XXVI y XXVIII, 22 en su último párrafo, </w:t>
      </w:r>
      <w:r w:rsidR="0076145E" w:rsidRPr="004B552B">
        <w:rPr>
          <w:rFonts w:ascii="Arial" w:hAnsi="Arial" w:cs="Arial"/>
        </w:rPr>
        <w:t xml:space="preserve">37, </w:t>
      </w:r>
      <w:r w:rsidRPr="004B552B">
        <w:rPr>
          <w:rFonts w:ascii="Arial" w:hAnsi="Arial" w:cs="Arial"/>
        </w:rPr>
        <w:t>38, 40, 41, 42 y 86 fracciones I, XVII, XXII y XXXVI de la Ley de Fiscalización y Rendición de Cuentas del Estado de Quintana Roo, se tiene a bien presentar el Informe Individual de Auditoría obtenido con relación a la Cuenta Pública</w:t>
      </w:r>
      <w:r w:rsidR="00DD355E" w:rsidRPr="004B552B">
        <w:rPr>
          <w:rFonts w:ascii="Arial" w:hAnsi="Arial" w:cs="Arial"/>
        </w:rPr>
        <w:t xml:space="preserve"> del </w:t>
      </w:r>
      <w:r w:rsidR="007A7A73" w:rsidRPr="004B552B">
        <w:rPr>
          <w:rFonts w:ascii="Arial" w:hAnsi="Arial" w:cs="Arial"/>
          <w:b/>
        </w:rPr>
        <w:t>Fondo Mixto CONACYT</w:t>
      </w:r>
      <w:r w:rsidR="00245CBD" w:rsidRPr="004B552B">
        <w:rPr>
          <w:rFonts w:ascii="Arial" w:hAnsi="Arial" w:cs="Arial"/>
          <w:b/>
        </w:rPr>
        <w:t>-</w:t>
      </w:r>
      <w:r w:rsidR="007A7A73" w:rsidRPr="004B552B">
        <w:rPr>
          <w:rFonts w:ascii="Arial" w:hAnsi="Arial" w:cs="Arial"/>
          <w:b/>
        </w:rPr>
        <w:t>Gobierno del Estado de Quintana Roo</w:t>
      </w:r>
      <w:r w:rsidRPr="004B552B">
        <w:rPr>
          <w:rFonts w:ascii="Arial" w:hAnsi="Arial" w:cs="Arial"/>
        </w:rPr>
        <w:t>, correspondiente al</w:t>
      </w:r>
      <w:r w:rsidR="0076145E" w:rsidRPr="004B552B">
        <w:rPr>
          <w:rFonts w:ascii="Arial" w:hAnsi="Arial" w:cs="Arial"/>
        </w:rPr>
        <w:t xml:space="preserve"> ejercicio fiscal 2022</w:t>
      </w:r>
      <w:r w:rsidRPr="004B552B">
        <w:rPr>
          <w:rFonts w:ascii="Arial" w:hAnsi="Arial" w:cs="Arial"/>
        </w:rPr>
        <w:t>.</w:t>
      </w:r>
    </w:p>
    <w:p w14:paraId="2D5C775D" w14:textId="77777777" w:rsidR="00AB594B" w:rsidRPr="008E5118" w:rsidRDefault="00AB594B" w:rsidP="00B93F1F">
      <w:pPr>
        <w:spacing w:line="360" w:lineRule="auto"/>
        <w:ind w:right="190"/>
        <w:rPr>
          <w:rFonts w:ascii="Arial" w:hAnsi="Arial" w:cs="Arial"/>
          <w:b/>
          <w:bCs/>
          <w:sz w:val="20"/>
          <w:szCs w:val="20"/>
        </w:rPr>
      </w:pPr>
    </w:p>
    <w:p w14:paraId="42BFFED1" w14:textId="74C7BAF6" w:rsidR="00430423" w:rsidRPr="004B552B" w:rsidRDefault="00430423" w:rsidP="00B93F1F">
      <w:pPr>
        <w:spacing w:line="360" w:lineRule="auto"/>
        <w:ind w:right="190"/>
        <w:rPr>
          <w:rFonts w:ascii="Arial" w:hAnsi="Arial" w:cs="Arial"/>
          <w:b/>
          <w:bCs/>
        </w:rPr>
      </w:pPr>
      <w:r w:rsidRPr="004B552B">
        <w:rPr>
          <w:rFonts w:ascii="Arial" w:hAnsi="Arial" w:cs="Arial"/>
          <w:b/>
          <w:bCs/>
        </w:rPr>
        <w:t>ANTECEDENTES DE LA ENTIDAD FISCALIZADA</w:t>
      </w:r>
    </w:p>
    <w:p w14:paraId="5A9F82FF" w14:textId="77777777" w:rsidR="00A35B86" w:rsidRPr="008E5118" w:rsidRDefault="00A35B86" w:rsidP="00B93F1F">
      <w:pPr>
        <w:spacing w:line="360" w:lineRule="auto"/>
        <w:ind w:right="190"/>
        <w:rPr>
          <w:rFonts w:ascii="Arial" w:hAnsi="Arial" w:cs="Arial"/>
          <w:b/>
          <w:bCs/>
          <w:sz w:val="20"/>
          <w:szCs w:val="20"/>
        </w:rPr>
      </w:pPr>
    </w:p>
    <w:p w14:paraId="34716022" w14:textId="77777777" w:rsidR="00E3658B" w:rsidRPr="004B552B" w:rsidRDefault="00E3658B" w:rsidP="00B93F1F">
      <w:pPr>
        <w:spacing w:line="360" w:lineRule="auto"/>
        <w:ind w:right="190"/>
        <w:jc w:val="both"/>
        <w:rPr>
          <w:rFonts w:ascii="Arial" w:hAnsi="Arial" w:cs="Arial"/>
          <w:b/>
        </w:rPr>
      </w:pPr>
      <w:r w:rsidRPr="004B552B">
        <w:rPr>
          <w:rFonts w:ascii="Arial" w:hAnsi="Arial" w:cs="Arial"/>
          <w:b/>
        </w:rPr>
        <w:t>D</w:t>
      </w:r>
      <w:r w:rsidR="002913A5" w:rsidRPr="004B552B">
        <w:rPr>
          <w:rFonts w:ascii="Arial" w:hAnsi="Arial" w:cs="Arial"/>
          <w:b/>
        </w:rPr>
        <w:t>e su Creación y Objeto</w:t>
      </w:r>
    </w:p>
    <w:p w14:paraId="7C81B69D" w14:textId="77777777" w:rsidR="00E3712E" w:rsidRPr="008E5118" w:rsidRDefault="00E3712E" w:rsidP="00B93F1F">
      <w:pPr>
        <w:spacing w:line="360" w:lineRule="auto"/>
        <w:ind w:right="190"/>
        <w:jc w:val="both"/>
        <w:rPr>
          <w:rFonts w:ascii="Arial" w:hAnsi="Arial" w:cs="Arial"/>
          <w:sz w:val="20"/>
          <w:szCs w:val="20"/>
        </w:rPr>
      </w:pPr>
    </w:p>
    <w:p w14:paraId="17A2FC89" w14:textId="50D26A5F" w:rsidR="00EC599A" w:rsidRPr="004B552B" w:rsidRDefault="004C1709" w:rsidP="0017430A">
      <w:pPr>
        <w:spacing w:line="360" w:lineRule="auto"/>
        <w:ind w:right="190"/>
        <w:jc w:val="both"/>
        <w:rPr>
          <w:rFonts w:ascii="Arial" w:hAnsi="Arial" w:cs="Arial"/>
        </w:rPr>
      </w:pPr>
      <w:r w:rsidRPr="004B552B">
        <w:rPr>
          <w:rFonts w:ascii="Arial" w:hAnsi="Arial" w:cs="Arial"/>
        </w:rPr>
        <w:t>E</w:t>
      </w:r>
      <w:r w:rsidR="003C7549" w:rsidRPr="004B552B">
        <w:rPr>
          <w:rFonts w:ascii="Arial" w:hAnsi="Arial" w:cs="Arial"/>
        </w:rPr>
        <w:t>l</w:t>
      </w:r>
      <w:r w:rsidR="007A7A73" w:rsidRPr="004B552B">
        <w:rPr>
          <w:rFonts w:ascii="Arial" w:hAnsi="Arial" w:cs="Arial"/>
          <w:b/>
        </w:rPr>
        <w:t xml:space="preserve"> Fondo Mixto de Fomento a la Investigación Cie</w:t>
      </w:r>
      <w:r w:rsidR="004D0657" w:rsidRPr="004B552B">
        <w:rPr>
          <w:rFonts w:ascii="Arial" w:hAnsi="Arial" w:cs="Arial"/>
          <w:b/>
        </w:rPr>
        <w:t>ntífica y Tecnológica CONACYT –</w:t>
      </w:r>
      <w:r w:rsidR="007A7A73" w:rsidRPr="004B552B">
        <w:rPr>
          <w:rFonts w:ascii="Arial" w:hAnsi="Arial" w:cs="Arial"/>
          <w:b/>
        </w:rPr>
        <w:t>Gobierno del Estado de Quintana Roo</w:t>
      </w:r>
      <w:r w:rsidRPr="004B552B">
        <w:rPr>
          <w:rFonts w:ascii="Arial" w:hAnsi="Arial" w:cs="Arial"/>
        </w:rPr>
        <w:t xml:space="preserve"> se crea m</w:t>
      </w:r>
      <w:r w:rsidR="00E74A29" w:rsidRPr="004B552B">
        <w:rPr>
          <w:rFonts w:ascii="Arial" w:hAnsi="Arial" w:cs="Arial"/>
        </w:rPr>
        <w:t>ediante convenio</w:t>
      </w:r>
      <w:r w:rsidR="001C4CDF" w:rsidRPr="004B552B">
        <w:rPr>
          <w:rFonts w:ascii="Arial" w:hAnsi="Arial" w:cs="Arial"/>
        </w:rPr>
        <w:t xml:space="preserve"> D</w:t>
      </w:r>
      <w:r w:rsidR="006609C2" w:rsidRPr="004B552B">
        <w:rPr>
          <w:rFonts w:ascii="Arial" w:hAnsi="Arial" w:cs="Arial"/>
        </w:rPr>
        <w:t>.</w:t>
      </w:r>
      <w:r w:rsidR="001C4CDF" w:rsidRPr="004B552B">
        <w:rPr>
          <w:rFonts w:ascii="Arial" w:hAnsi="Arial" w:cs="Arial"/>
        </w:rPr>
        <w:t>A</w:t>
      </w:r>
      <w:r w:rsidR="006609C2" w:rsidRPr="004B552B">
        <w:rPr>
          <w:rFonts w:ascii="Arial" w:hAnsi="Arial" w:cs="Arial"/>
        </w:rPr>
        <w:t>.</w:t>
      </w:r>
      <w:r w:rsidR="0037118B" w:rsidRPr="004B552B">
        <w:rPr>
          <w:rFonts w:ascii="Arial" w:hAnsi="Arial" w:cs="Arial"/>
        </w:rPr>
        <w:t>J-J</w:t>
      </w:r>
      <w:r w:rsidR="001C4CDF" w:rsidRPr="004B552B">
        <w:rPr>
          <w:rFonts w:ascii="Arial" w:hAnsi="Arial" w:cs="Arial"/>
        </w:rPr>
        <w:t>003/424/200</w:t>
      </w:r>
      <w:r w:rsidR="006609C2" w:rsidRPr="004B552B">
        <w:rPr>
          <w:rFonts w:ascii="Arial" w:hAnsi="Arial" w:cs="Arial"/>
        </w:rPr>
        <w:t>1-</w:t>
      </w:r>
      <w:r w:rsidR="003C7549" w:rsidRPr="004B552B">
        <w:rPr>
          <w:rFonts w:ascii="Arial" w:hAnsi="Arial" w:cs="Arial"/>
        </w:rPr>
        <w:t xml:space="preserve">FON-MIX-9/2001 de fecha </w:t>
      </w:r>
      <w:r w:rsidR="001C4CDF" w:rsidRPr="004B552B">
        <w:rPr>
          <w:rFonts w:ascii="Arial" w:hAnsi="Arial" w:cs="Arial"/>
        </w:rPr>
        <w:t>09</w:t>
      </w:r>
      <w:r w:rsidR="003C7549" w:rsidRPr="004B552B">
        <w:rPr>
          <w:rFonts w:ascii="Arial" w:hAnsi="Arial" w:cs="Arial"/>
        </w:rPr>
        <w:t xml:space="preserve"> de octubre de 2001, </w:t>
      </w:r>
      <w:r w:rsidR="00EC599A" w:rsidRPr="004B552B">
        <w:rPr>
          <w:rFonts w:ascii="Arial" w:hAnsi="Arial" w:cs="Arial"/>
        </w:rPr>
        <w:t>con el objeto de administrar el patrimonio del “FIDEICOMISO” a efecto de que se destine para apoyar la realización de proyectos científicos, tecnológicos y de innovación que respondan a prioridades establecida</w:t>
      </w:r>
      <w:r w:rsidR="003C7549" w:rsidRPr="004B552B">
        <w:rPr>
          <w:rFonts w:ascii="Arial" w:hAnsi="Arial" w:cs="Arial"/>
        </w:rPr>
        <w:t>s por la entidad federativa, pa</w:t>
      </w:r>
      <w:r w:rsidR="00EC599A" w:rsidRPr="004B552B">
        <w:rPr>
          <w:rFonts w:ascii="Arial" w:hAnsi="Arial" w:cs="Arial"/>
        </w:rPr>
        <w:t xml:space="preserve">ra atender problemas, necesidades y oportunidades </w:t>
      </w:r>
      <w:r w:rsidR="003C7549" w:rsidRPr="004B552B">
        <w:rPr>
          <w:rFonts w:ascii="Arial" w:hAnsi="Arial" w:cs="Arial"/>
        </w:rPr>
        <w:t xml:space="preserve">estratégicas que contribuyan </w:t>
      </w:r>
      <w:r w:rsidR="00EC599A" w:rsidRPr="004B552B">
        <w:rPr>
          <w:rFonts w:ascii="Arial" w:hAnsi="Arial" w:cs="Arial"/>
        </w:rPr>
        <w:t>al desarrollo económico y social sustentable, a la vinculación, al incremento de la productividad y competitividad de los sectores productivos y de servicios</w:t>
      </w:r>
      <w:r w:rsidR="003C7549" w:rsidRPr="004B552B">
        <w:rPr>
          <w:rFonts w:ascii="Arial" w:hAnsi="Arial" w:cs="Arial"/>
        </w:rPr>
        <w:t xml:space="preserve"> y</w:t>
      </w:r>
      <w:r w:rsidR="00EC599A" w:rsidRPr="004B552B">
        <w:rPr>
          <w:rFonts w:ascii="Arial" w:hAnsi="Arial" w:cs="Arial"/>
        </w:rPr>
        <w:t xml:space="preserve"> al fortalecimiento y consolidación de las capacidades del sistema de ciencia, tecnología e innova</w:t>
      </w:r>
      <w:r w:rsidR="003C7549" w:rsidRPr="004B552B">
        <w:rPr>
          <w:rFonts w:ascii="Arial" w:hAnsi="Arial" w:cs="Arial"/>
        </w:rPr>
        <w:t xml:space="preserve">ción del Estado de Quintana Roo; </w:t>
      </w:r>
      <w:r w:rsidR="00EC599A" w:rsidRPr="004B552B">
        <w:rPr>
          <w:rFonts w:ascii="Arial" w:hAnsi="Arial" w:cs="Arial"/>
        </w:rPr>
        <w:t>en apego a lo que al respecto establezca el Comité Técnico y de Administración</w:t>
      </w:r>
      <w:r w:rsidR="00953D26">
        <w:rPr>
          <w:rFonts w:ascii="Arial" w:hAnsi="Arial" w:cs="Arial"/>
        </w:rPr>
        <w:t>,</w:t>
      </w:r>
      <w:r w:rsidR="003E3410">
        <w:rPr>
          <w:rFonts w:ascii="Arial" w:hAnsi="Arial" w:cs="Arial"/>
        </w:rPr>
        <w:t xml:space="preserve"> y</w:t>
      </w:r>
      <w:r w:rsidR="00953D26">
        <w:rPr>
          <w:rFonts w:ascii="Arial" w:hAnsi="Arial" w:cs="Arial"/>
        </w:rPr>
        <w:t xml:space="preserve"> </w:t>
      </w:r>
      <w:r w:rsidR="00EC599A" w:rsidRPr="004B552B">
        <w:rPr>
          <w:rFonts w:ascii="Arial" w:hAnsi="Arial" w:cs="Arial"/>
        </w:rPr>
        <w:t>con base a las Reglas de Operación del “Fondo Mixto</w:t>
      </w:r>
      <w:r w:rsidR="007E41F7" w:rsidRPr="004B552B">
        <w:rPr>
          <w:rFonts w:ascii="Arial" w:hAnsi="Arial" w:cs="Arial"/>
        </w:rPr>
        <w:t>.</w:t>
      </w:r>
      <w:r w:rsidR="00EC599A" w:rsidRPr="004B552B">
        <w:rPr>
          <w:rFonts w:ascii="Arial" w:hAnsi="Arial" w:cs="Arial"/>
        </w:rPr>
        <w:t>”</w:t>
      </w:r>
    </w:p>
    <w:p w14:paraId="7B6EE723" w14:textId="77777777" w:rsidR="00A4004B" w:rsidRPr="008E5118" w:rsidRDefault="00A4004B" w:rsidP="0017430A">
      <w:pPr>
        <w:spacing w:line="360" w:lineRule="auto"/>
        <w:ind w:right="190"/>
        <w:jc w:val="both"/>
        <w:rPr>
          <w:rFonts w:ascii="Arial" w:hAnsi="Arial" w:cs="Arial"/>
          <w:sz w:val="20"/>
          <w:szCs w:val="20"/>
        </w:rPr>
      </w:pPr>
    </w:p>
    <w:p w14:paraId="4354AB77" w14:textId="71545DB2" w:rsidR="00CB1F09" w:rsidRPr="004B552B" w:rsidRDefault="00CB1F09" w:rsidP="00FB736A">
      <w:pPr>
        <w:tabs>
          <w:tab w:val="left" w:pos="9498"/>
        </w:tabs>
        <w:spacing w:line="360" w:lineRule="auto"/>
        <w:ind w:right="190"/>
        <w:jc w:val="both"/>
        <w:rPr>
          <w:rFonts w:ascii="Arial" w:hAnsi="Arial" w:cs="Arial"/>
        </w:rPr>
      </w:pPr>
      <w:r w:rsidRPr="004B552B">
        <w:rPr>
          <w:rFonts w:ascii="Arial" w:hAnsi="Arial" w:cs="Arial"/>
        </w:rPr>
        <w:t>Derivado del “</w:t>
      </w:r>
      <w:r w:rsidRPr="004B552B">
        <w:rPr>
          <w:rFonts w:ascii="Arial" w:hAnsi="Arial" w:cs="Arial"/>
          <w:i/>
        </w:rPr>
        <w:t>DECRETO por el que se reforman y derogan diversas disposiciones de la Ley para la Protección de Personas Defensoras de Derechos Humanos y Periodistas; de la Ley de Cooperación Internacional para el Desarrollo; de la Ley de Hidrocarburos; de la Ley de la Industria Eléctrica; de la Ley Federal de Presupuesto y Responsabilidad Hacendaria; de la Ley General de Protección Civil; de la Ley Orgánica de la Financiera Nacional de Desarrollo Agropecuario, Rural, Forestal y Pesquero; de la Ley de Ciencia y Tecnología; de la Ley Aduanera; de la Ley Reglamentaria del Servicio Ferroviario; de la Ley General de Cultura Física y Deporte; de la Ley Federal de Cinematografía; de la Ley Federal de Derechos; de la Ley del Fondo Mexicano del Petróleo para la Estabilización y el Desarrollo; de la Ley de Bioseguridad de Organismos Genéticamente Modificados; de la Ley General de Cambio Climático; de la Ley General de Víctimas y se abroga la Ley que crea el Fideicomiso que administrará el Fondo de Apoyo Social para Ex Trabajadores Migratorios Mexicanos</w:t>
      </w:r>
      <w:r w:rsidRPr="004B552B">
        <w:rPr>
          <w:rFonts w:ascii="Arial" w:hAnsi="Arial" w:cs="Arial"/>
        </w:rPr>
        <w:t>”, publicado en el Diario Oficial de la Federación el día 06 de noviembre de 2020; se estableció en su artículo séptimo transitorio, que el Consejo Nacional de Ciencia y Tecnología y los Centros P</w:t>
      </w:r>
      <w:r w:rsidR="00CE3CB3">
        <w:rPr>
          <w:rFonts w:ascii="Arial" w:hAnsi="Arial" w:cs="Arial"/>
        </w:rPr>
        <w:t>úblicos de Investigación, deben</w:t>
      </w:r>
      <w:r w:rsidRPr="004B552B">
        <w:rPr>
          <w:rFonts w:ascii="Arial" w:hAnsi="Arial" w:cs="Arial"/>
        </w:rPr>
        <w:t xml:space="preserve"> coordinarse con las instituciones que fungieran como fiduciarias para llevar a cabo los actos y procesos necesarios para extinguir los fideicomisos públicos constituidos bajo el amparo de la Ley de Ciencia y Tecnología, </w:t>
      </w:r>
      <w:r w:rsidR="00953D26">
        <w:rPr>
          <w:rFonts w:ascii="Arial" w:hAnsi="Arial" w:cs="Arial"/>
        </w:rPr>
        <w:t>con el</w:t>
      </w:r>
      <w:r w:rsidRPr="004B552B">
        <w:rPr>
          <w:rFonts w:ascii="Arial" w:hAnsi="Arial" w:cs="Arial"/>
        </w:rPr>
        <w:t xml:space="preserve"> fin de que durante el ejercicio fiscal de 2021 se suscribieran los convenios de extinción en términos de las disposiciones aplicables.</w:t>
      </w:r>
    </w:p>
    <w:p w14:paraId="17EAF5A6" w14:textId="77777777" w:rsidR="00CB1F09" w:rsidRPr="008E5118" w:rsidRDefault="00CB1F09" w:rsidP="00CB1F09">
      <w:pPr>
        <w:spacing w:line="360" w:lineRule="auto"/>
        <w:jc w:val="both"/>
        <w:rPr>
          <w:rFonts w:ascii="Arial" w:hAnsi="Arial" w:cs="Arial"/>
          <w:sz w:val="20"/>
          <w:szCs w:val="20"/>
          <w:lang w:eastAsia="en-US"/>
        </w:rPr>
      </w:pPr>
    </w:p>
    <w:p w14:paraId="2242CAED" w14:textId="0A9081A9" w:rsidR="00CB1F09" w:rsidRPr="004B552B" w:rsidRDefault="00CB1F09" w:rsidP="00FB736A">
      <w:pPr>
        <w:spacing w:line="360" w:lineRule="auto"/>
        <w:ind w:right="190"/>
        <w:jc w:val="both"/>
        <w:rPr>
          <w:rFonts w:ascii="Arial" w:hAnsi="Arial" w:cs="Arial"/>
        </w:rPr>
      </w:pPr>
      <w:r w:rsidRPr="004B552B">
        <w:rPr>
          <w:rFonts w:ascii="Arial" w:hAnsi="Arial" w:cs="Arial"/>
        </w:rPr>
        <w:t>En virtud de lo anterior, mediante el oficio H0</w:t>
      </w:r>
      <w:r w:rsidR="00953D26">
        <w:rPr>
          <w:rFonts w:ascii="Arial" w:hAnsi="Arial" w:cs="Arial"/>
        </w:rPr>
        <w:t>000/498-O/2021, de fecha 01 de j</w:t>
      </w:r>
      <w:r w:rsidRPr="004B552B">
        <w:rPr>
          <w:rFonts w:ascii="Arial" w:hAnsi="Arial" w:cs="Arial"/>
        </w:rPr>
        <w:t>ulio de 2021, el Titular de la Unidad de Administr</w:t>
      </w:r>
      <w:r w:rsidR="00953D26">
        <w:rPr>
          <w:rFonts w:ascii="Arial" w:hAnsi="Arial" w:cs="Arial"/>
        </w:rPr>
        <w:t xml:space="preserve">ación y Finanzas de la CONACYT, </w:t>
      </w:r>
      <w:r w:rsidRPr="004B552B">
        <w:rPr>
          <w:rFonts w:ascii="Arial" w:hAnsi="Arial" w:cs="Arial"/>
        </w:rPr>
        <w:t>inició las gestiones necesarias para dar cumplimiento a lo señalado por el Decreto.</w:t>
      </w:r>
    </w:p>
    <w:p w14:paraId="79F8F5EE" w14:textId="77777777" w:rsidR="00CB1F09" w:rsidRPr="008E5118" w:rsidRDefault="00CB1F09" w:rsidP="00CB1F09">
      <w:pPr>
        <w:spacing w:line="360" w:lineRule="auto"/>
        <w:jc w:val="both"/>
        <w:rPr>
          <w:rFonts w:ascii="Arial" w:hAnsi="Arial" w:cs="Arial"/>
          <w:sz w:val="20"/>
          <w:szCs w:val="20"/>
        </w:rPr>
      </w:pPr>
    </w:p>
    <w:p w14:paraId="3A95E4DA" w14:textId="2FCC4109" w:rsidR="00CB1F09" w:rsidRDefault="00CB1F09" w:rsidP="00FB736A">
      <w:pPr>
        <w:spacing w:line="360" w:lineRule="auto"/>
        <w:ind w:right="190"/>
        <w:jc w:val="both"/>
        <w:rPr>
          <w:rFonts w:ascii="Arial" w:hAnsi="Arial" w:cs="Arial"/>
        </w:rPr>
      </w:pPr>
      <w:r w:rsidRPr="004B552B">
        <w:rPr>
          <w:rFonts w:ascii="Arial" w:hAnsi="Arial" w:cs="Arial"/>
        </w:rPr>
        <w:t xml:space="preserve">En consecuencia, el día 30 de junio de 2022 se llevó a cabo la celebración del Contrato de Cesión de Derechos y Obligaciones a Título Gratuito y el Convenio de Extinción total al Contrato de Fideicomiso denominado </w:t>
      </w:r>
      <w:r w:rsidRPr="004B552B">
        <w:rPr>
          <w:rFonts w:ascii="Arial" w:hAnsi="Arial" w:cs="Arial"/>
          <w:b/>
        </w:rPr>
        <w:t>“Fondo Mixto CONACYT-Gobierno del Estado de Quintana Roo”</w:t>
      </w:r>
      <w:r w:rsidRPr="004B552B">
        <w:rPr>
          <w:rFonts w:ascii="Arial" w:hAnsi="Arial" w:cs="Arial"/>
        </w:rPr>
        <w:t xml:space="preserve">, instrumento jurídico identificado como </w:t>
      </w:r>
      <w:r w:rsidRPr="004B552B">
        <w:rPr>
          <w:rFonts w:ascii="Arial" w:hAnsi="Arial" w:cs="Arial"/>
          <w:b/>
        </w:rPr>
        <w:t>FON.MIX.16/2022</w:t>
      </w:r>
      <w:r w:rsidRPr="004B552B">
        <w:rPr>
          <w:rFonts w:ascii="Arial" w:hAnsi="Arial" w:cs="Arial"/>
        </w:rPr>
        <w:t xml:space="preserve">, mismo que en las cláusulas contenidas en el Capítulo Segundo del Convenio de Extinción, estableció el procedimiento necesario para dar cumplimiento a las instrucciones giradas por los fideicomitentes, gestiones relacionadas con la entrega de recursos públicos federales del fideicomiso pertenecientes al Consejo Nacional de Ciencia y Tecnología, a través de la Tesorería de la Federación, y por otro lado, la entrega de los recursos públicos estatales al Gobierno del Estado de Quintana Roo, a través de la Secretaría de Finanzas y Planeación del Estado de Quintana Roo. </w:t>
      </w:r>
    </w:p>
    <w:p w14:paraId="3BEA56D2" w14:textId="77777777" w:rsidR="00216636" w:rsidRPr="008E5118" w:rsidRDefault="00216636" w:rsidP="00FB736A">
      <w:pPr>
        <w:spacing w:line="360" w:lineRule="auto"/>
        <w:ind w:right="190"/>
        <w:jc w:val="both"/>
        <w:rPr>
          <w:rFonts w:ascii="Arial" w:hAnsi="Arial" w:cs="Arial"/>
          <w:sz w:val="20"/>
          <w:szCs w:val="20"/>
        </w:rPr>
      </w:pPr>
    </w:p>
    <w:p w14:paraId="104C439A" w14:textId="1643A3A9" w:rsidR="00CB1F09" w:rsidRPr="004B552B" w:rsidRDefault="00CB1F09" w:rsidP="00FB736A">
      <w:pPr>
        <w:spacing w:line="360" w:lineRule="auto"/>
        <w:ind w:right="190"/>
        <w:jc w:val="both"/>
        <w:rPr>
          <w:rFonts w:ascii="Arial" w:hAnsi="Arial" w:cs="Arial"/>
        </w:rPr>
      </w:pPr>
      <w:r w:rsidRPr="004B552B">
        <w:rPr>
          <w:rFonts w:ascii="Arial" w:hAnsi="Arial" w:cs="Arial"/>
        </w:rPr>
        <w:t xml:space="preserve">En tal sentido, el </w:t>
      </w:r>
      <w:r w:rsidRPr="004B552B">
        <w:rPr>
          <w:rFonts w:ascii="Arial" w:hAnsi="Arial" w:cs="Arial"/>
          <w:b/>
        </w:rPr>
        <w:t>Fondo Mixto CONACYT-Gobierno del Estado de Quintana Roo</w:t>
      </w:r>
      <w:r w:rsidRPr="004B552B">
        <w:rPr>
          <w:rFonts w:ascii="Arial" w:hAnsi="Arial" w:cs="Arial"/>
        </w:rPr>
        <w:t xml:space="preserve"> se declara extinto en fecha 30 de junio de 2022, según el Contrato de Cesión de Derechos y</w:t>
      </w:r>
      <w:r w:rsidR="00953D26">
        <w:rPr>
          <w:rFonts w:ascii="Arial" w:hAnsi="Arial" w:cs="Arial"/>
        </w:rPr>
        <w:t xml:space="preserve"> Obligaciones a Título Gratuito</w:t>
      </w:r>
      <w:r w:rsidRPr="004B552B">
        <w:rPr>
          <w:rFonts w:ascii="Arial" w:hAnsi="Arial" w:cs="Arial"/>
        </w:rPr>
        <w:t xml:space="preserve"> y el Convenio de Extinción total al Contrato de Fideicomiso denominado </w:t>
      </w:r>
      <w:r w:rsidRPr="004B552B">
        <w:rPr>
          <w:rFonts w:ascii="Arial" w:hAnsi="Arial" w:cs="Arial"/>
          <w:b/>
        </w:rPr>
        <w:t>“Fondo Mixto CONACYT-Gobierno del Estado de Quintana Roo”</w:t>
      </w:r>
      <w:r w:rsidRPr="004B552B">
        <w:rPr>
          <w:rFonts w:ascii="Arial" w:hAnsi="Arial" w:cs="Arial"/>
        </w:rPr>
        <w:t xml:space="preserve">, </w:t>
      </w:r>
      <w:r w:rsidRPr="004B552B">
        <w:rPr>
          <w:rFonts w:ascii="Arial" w:hAnsi="Arial" w:cs="Arial"/>
          <w:b/>
        </w:rPr>
        <w:t>FON.MIX.16/2022.</w:t>
      </w:r>
    </w:p>
    <w:p w14:paraId="39B96F6B" w14:textId="77777777" w:rsidR="003C7549" w:rsidRPr="008E5118" w:rsidRDefault="003C7549" w:rsidP="00B93F1F">
      <w:pPr>
        <w:spacing w:line="360" w:lineRule="auto"/>
        <w:ind w:right="190"/>
        <w:jc w:val="both"/>
        <w:rPr>
          <w:rFonts w:ascii="Arial" w:hAnsi="Arial" w:cs="Arial"/>
          <w:sz w:val="20"/>
          <w:szCs w:val="20"/>
        </w:rPr>
      </w:pPr>
    </w:p>
    <w:p w14:paraId="1C2BAF1F" w14:textId="0C7FEE29" w:rsidR="00C47B98" w:rsidRPr="004B552B" w:rsidRDefault="00C47B98" w:rsidP="00B93F1F">
      <w:pPr>
        <w:spacing w:line="360" w:lineRule="auto"/>
        <w:ind w:right="190"/>
        <w:jc w:val="both"/>
        <w:rPr>
          <w:rFonts w:ascii="Arial" w:hAnsi="Arial" w:cs="Arial"/>
          <w:b/>
          <w:bCs/>
        </w:rPr>
      </w:pPr>
      <w:r w:rsidRPr="004B552B">
        <w:rPr>
          <w:rFonts w:ascii="Arial" w:hAnsi="Arial" w:cs="Arial"/>
          <w:b/>
          <w:bCs/>
        </w:rPr>
        <w:t>I. INFORME INDIVIDUAL DE AUDITOR</w:t>
      </w:r>
      <w:r w:rsidR="007115E0" w:rsidRPr="004B552B">
        <w:rPr>
          <w:rFonts w:ascii="Arial" w:hAnsi="Arial" w:cs="Arial"/>
          <w:b/>
          <w:bCs/>
        </w:rPr>
        <w:t>Í</w:t>
      </w:r>
      <w:r w:rsidRPr="004B552B">
        <w:rPr>
          <w:rFonts w:ascii="Arial" w:hAnsi="Arial" w:cs="Arial"/>
          <w:b/>
          <w:bCs/>
        </w:rPr>
        <w:t>A RELATIVO A INGRESOS</w:t>
      </w:r>
      <w:r w:rsidR="0076145E" w:rsidRPr="004B552B">
        <w:rPr>
          <w:rFonts w:ascii="Arial" w:hAnsi="Arial" w:cs="Arial"/>
          <w:b/>
          <w:bCs/>
        </w:rPr>
        <w:t xml:space="preserve"> Y GASTOS PÚBLICOS</w:t>
      </w:r>
    </w:p>
    <w:p w14:paraId="52E9F554" w14:textId="77777777" w:rsidR="00C47B98" w:rsidRPr="008E5118" w:rsidRDefault="00C47B98" w:rsidP="00B93F1F">
      <w:pPr>
        <w:spacing w:line="360" w:lineRule="auto"/>
        <w:ind w:right="190"/>
        <w:jc w:val="both"/>
        <w:rPr>
          <w:rFonts w:ascii="Arial" w:hAnsi="Arial" w:cs="Arial"/>
          <w:b/>
          <w:bCs/>
          <w:sz w:val="20"/>
          <w:szCs w:val="20"/>
        </w:rPr>
      </w:pPr>
    </w:p>
    <w:p w14:paraId="36574721" w14:textId="046656D0" w:rsidR="00135FEF" w:rsidRPr="004B552B" w:rsidRDefault="00926E86" w:rsidP="00094B8A">
      <w:pPr>
        <w:spacing w:line="360" w:lineRule="auto"/>
        <w:ind w:right="190"/>
        <w:jc w:val="both"/>
        <w:rPr>
          <w:rFonts w:ascii="Arial" w:hAnsi="Arial" w:cs="Arial"/>
          <w:b/>
          <w:bCs/>
        </w:rPr>
      </w:pPr>
      <w:r w:rsidRPr="004B552B">
        <w:rPr>
          <w:rFonts w:ascii="Arial" w:hAnsi="Arial" w:cs="Arial"/>
          <w:b/>
          <w:bCs/>
        </w:rPr>
        <w:t>I</w:t>
      </w:r>
      <w:r w:rsidR="00C47B98" w:rsidRPr="004B552B">
        <w:rPr>
          <w:rFonts w:ascii="Arial" w:hAnsi="Arial" w:cs="Arial"/>
          <w:b/>
          <w:bCs/>
        </w:rPr>
        <w:t>.1</w:t>
      </w:r>
      <w:r w:rsidRPr="004B552B">
        <w:rPr>
          <w:rFonts w:ascii="Arial" w:hAnsi="Arial" w:cs="Arial"/>
          <w:b/>
          <w:bCs/>
        </w:rPr>
        <w:t>. ASPECTOS GENERALES DE LA AUDITORÍA</w:t>
      </w:r>
    </w:p>
    <w:p w14:paraId="651D1312" w14:textId="77777777" w:rsidR="0059678F" w:rsidRPr="008E5118" w:rsidRDefault="0059678F" w:rsidP="00094B8A">
      <w:pPr>
        <w:spacing w:line="360" w:lineRule="auto"/>
        <w:ind w:right="190"/>
        <w:jc w:val="both"/>
        <w:rPr>
          <w:rFonts w:ascii="Arial" w:hAnsi="Arial" w:cs="Arial"/>
          <w:b/>
          <w:bCs/>
          <w:sz w:val="20"/>
          <w:szCs w:val="20"/>
        </w:rPr>
      </w:pPr>
    </w:p>
    <w:p w14:paraId="590B66ED" w14:textId="1A5CEBEA" w:rsidR="00135FEF" w:rsidRPr="004B552B" w:rsidRDefault="003A7F34" w:rsidP="00135FEF">
      <w:pPr>
        <w:pStyle w:val="Prrafodelista"/>
        <w:numPr>
          <w:ilvl w:val="0"/>
          <w:numId w:val="21"/>
        </w:numPr>
        <w:spacing w:line="360" w:lineRule="auto"/>
        <w:ind w:left="426"/>
        <w:jc w:val="both"/>
        <w:rPr>
          <w:rFonts w:ascii="Arial" w:hAnsi="Arial" w:cs="Arial"/>
          <w:b/>
          <w:bCs/>
        </w:rPr>
      </w:pPr>
      <w:r w:rsidRPr="004B552B">
        <w:rPr>
          <w:rFonts w:ascii="Arial" w:hAnsi="Arial" w:cs="Arial"/>
          <w:b/>
          <w:bCs/>
        </w:rPr>
        <w:t xml:space="preserve">Título de la </w:t>
      </w:r>
      <w:r w:rsidR="00FA4D20" w:rsidRPr="004B552B">
        <w:rPr>
          <w:rFonts w:ascii="Arial" w:hAnsi="Arial" w:cs="Arial"/>
          <w:b/>
          <w:bCs/>
        </w:rPr>
        <w:t>A</w:t>
      </w:r>
      <w:r w:rsidR="00E43850" w:rsidRPr="004B552B">
        <w:rPr>
          <w:rFonts w:ascii="Arial" w:hAnsi="Arial" w:cs="Arial"/>
          <w:b/>
          <w:bCs/>
        </w:rPr>
        <w:t>uditoría</w:t>
      </w:r>
    </w:p>
    <w:p w14:paraId="79D32428" w14:textId="77777777" w:rsidR="00135FEF" w:rsidRPr="008E5118" w:rsidRDefault="00135FEF" w:rsidP="00216636">
      <w:pPr>
        <w:spacing w:line="360" w:lineRule="auto"/>
        <w:ind w:left="66"/>
        <w:jc w:val="both"/>
        <w:rPr>
          <w:rFonts w:ascii="Arial" w:hAnsi="Arial" w:cs="Arial"/>
          <w:b/>
          <w:bCs/>
          <w:sz w:val="20"/>
          <w:szCs w:val="20"/>
        </w:rPr>
      </w:pPr>
    </w:p>
    <w:p w14:paraId="41E7DCE4" w14:textId="7CD24D36" w:rsidR="00AA50F2" w:rsidRPr="004B552B" w:rsidRDefault="00AA50F2" w:rsidP="0017430A">
      <w:pPr>
        <w:spacing w:line="360" w:lineRule="auto"/>
        <w:ind w:right="190"/>
        <w:jc w:val="both"/>
        <w:rPr>
          <w:rFonts w:ascii="Arial" w:hAnsi="Arial" w:cs="Arial"/>
        </w:rPr>
      </w:pPr>
      <w:r w:rsidRPr="004B552B">
        <w:rPr>
          <w:rFonts w:ascii="Arial" w:hAnsi="Arial" w:cs="Arial"/>
        </w:rPr>
        <w:t>La auditoría, visita e inspección que se r</w:t>
      </w:r>
      <w:r w:rsidR="00DD355E" w:rsidRPr="004B552B">
        <w:rPr>
          <w:rFonts w:ascii="Arial" w:hAnsi="Arial" w:cs="Arial"/>
        </w:rPr>
        <w:t xml:space="preserve">ealizó en materia financiera al </w:t>
      </w:r>
      <w:r w:rsidR="00DD355E" w:rsidRPr="004B552B">
        <w:rPr>
          <w:rFonts w:ascii="Arial" w:hAnsi="Arial" w:cs="Arial"/>
          <w:b/>
        </w:rPr>
        <w:t>Fondo Mixto CONACYT</w:t>
      </w:r>
      <w:r w:rsidR="00245CBD" w:rsidRPr="004B552B">
        <w:rPr>
          <w:rFonts w:ascii="Arial" w:hAnsi="Arial" w:cs="Arial"/>
          <w:b/>
        </w:rPr>
        <w:t>-</w:t>
      </w:r>
      <w:r w:rsidR="00DD355E" w:rsidRPr="004B552B">
        <w:rPr>
          <w:rFonts w:ascii="Arial" w:hAnsi="Arial" w:cs="Arial"/>
          <w:b/>
        </w:rPr>
        <w:t>Gobierno del Estado de Quintana Roo</w:t>
      </w:r>
      <w:r w:rsidR="00114D39" w:rsidRPr="004B552B">
        <w:rPr>
          <w:rFonts w:ascii="Arial" w:hAnsi="Arial" w:cs="Arial"/>
        </w:rPr>
        <w:t>, de</w:t>
      </w:r>
      <w:r w:rsidRPr="004B552B">
        <w:rPr>
          <w:rFonts w:ascii="Arial" w:hAnsi="Arial" w:cs="Arial"/>
        </w:rPr>
        <w:t xml:space="preserve"> </w:t>
      </w:r>
      <w:r w:rsidR="00840A3F" w:rsidRPr="004B552B">
        <w:rPr>
          <w:rFonts w:ascii="Arial" w:hAnsi="Arial" w:cs="Arial"/>
        </w:rPr>
        <w:t xml:space="preserve">manera especial y enunciativa </w:t>
      </w:r>
      <w:r w:rsidR="004E1E6C" w:rsidRPr="004B552B">
        <w:rPr>
          <w:rFonts w:ascii="Arial" w:hAnsi="Arial" w:cs="Arial"/>
        </w:rPr>
        <w:t>mas no</w:t>
      </w:r>
      <w:r w:rsidRPr="004B552B">
        <w:rPr>
          <w:rFonts w:ascii="Arial" w:hAnsi="Arial" w:cs="Arial"/>
        </w:rPr>
        <w:t xml:space="preserve"> limitativa, fue la siguiente:</w:t>
      </w:r>
    </w:p>
    <w:p w14:paraId="17C77EE7" w14:textId="77777777" w:rsidR="00E57536" w:rsidRPr="008E5118" w:rsidRDefault="00E57536" w:rsidP="00BA7B85">
      <w:pPr>
        <w:tabs>
          <w:tab w:val="left" w:pos="1040"/>
          <w:tab w:val="left" w:pos="9498"/>
        </w:tabs>
        <w:spacing w:line="360" w:lineRule="auto"/>
        <w:ind w:right="190"/>
        <w:jc w:val="both"/>
        <w:rPr>
          <w:rFonts w:ascii="Arial" w:hAnsi="Arial" w:cs="Arial"/>
          <w:sz w:val="20"/>
          <w:szCs w:val="20"/>
        </w:rPr>
      </w:pPr>
    </w:p>
    <w:tbl>
      <w:tblPr>
        <w:tblW w:w="4829" w:type="pct"/>
        <w:jc w:val="center"/>
        <w:tblLayout w:type="fixed"/>
        <w:tblCellMar>
          <w:left w:w="70" w:type="dxa"/>
          <w:right w:w="70" w:type="dxa"/>
        </w:tblCellMar>
        <w:tblLook w:val="04A0" w:firstRow="1" w:lastRow="0" w:firstColumn="1" w:lastColumn="0" w:noHBand="0" w:noVBand="1"/>
      </w:tblPr>
      <w:tblGrid>
        <w:gridCol w:w="4431"/>
        <w:gridCol w:w="4926"/>
      </w:tblGrid>
      <w:tr w:rsidR="00114D39" w:rsidRPr="004B552B" w14:paraId="7B2620BE" w14:textId="77777777" w:rsidTr="00C81854">
        <w:trPr>
          <w:trHeight w:val="678"/>
          <w:tblHeader/>
          <w:jc w:val="center"/>
        </w:trPr>
        <w:tc>
          <w:tcPr>
            <w:tcW w:w="2368" w:type="pct"/>
            <w:shd w:val="clear" w:color="auto" w:fill="auto"/>
          </w:tcPr>
          <w:p w14:paraId="35B3CB8E" w14:textId="529637D8" w:rsidR="00114D39" w:rsidRPr="004B552B" w:rsidRDefault="00B470C7" w:rsidP="003C1F2B">
            <w:pPr>
              <w:spacing w:line="360" w:lineRule="auto"/>
              <w:ind w:right="190"/>
              <w:jc w:val="both"/>
              <w:rPr>
                <w:rFonts w:ascii="Arial" w:hAnsi="Arial" w:cs="Arial"/>
                <w:b/>
                <w:bCs/>
              </w:rPr>
            </w:pPr>
            <w:r w:rsidRPr="004B552B">
              <w:rPr>
                <w:rFonts w:ascii="Arial" w:hAnsi="Arial" w:cs="Arial"/>
                <w:b/>
                <w:bCs/>
              </w:rPr>
              <w:t>22-AEMF-D-GOB-101-130</w:t>
            </w:r>
          </w:p>
          <w:p w14:paraId="4D94D077" w14:textId="77777777" w:rsidR="00114D39" w:rsidRPr="004B552B" w:rsidRDefault="00114D39" w:rsidP="003C1F2B">
            <w:pPr>
              <w:spacing w:line="360" w:lineRule="auto"/>
              <w:ind w:right="190"/>
              <w:jc w:val="both"/>
              <w:rPr>
                <w:rFonts w:ascii="Arial" w:hAnsi="Arial" w:cs="Arial"/>
                <w:b/>
                <w:bCs/>
              </w:rPr>
            </w:pPr>
          </w:p>
        </w:tc>
        <w:tc>
          <w:tcPr>
            <w:tcW w:w="2632" w:type="pct"/>
            <w:shd w:val="clear" w:color="auto" w:fill="auto"/>
          </w:tcPr>
          <w:p w14:paraId="610E42D0" w14:textId="5783D6E9" w:rsidR="00114D39" w:rsidRPr="004B552B" w:rsidRDefault="00114D39" w:rsidP="00FB736A">
            <w:pPr>
              <w:tabs>
                <w:tab w:val="left" w:pos="4856"/>
              </w:tabs>
              <w:spacing w:line="360" w:lineRule="auto"/>
              <w:ind w:right="190"/>
              <w:jc w:val="both"/>
              <w:rPr>
                <w:rFonts w:ascii="Arial" w:hAnsi="Arial" w:cs="Arial"/>
                <w:bCs/>
              </w:rPr>
            </w:pPr>
            <w:r w:rsidRPr="004B552B">
              <w:rPr>
                <w:rFonts w:ascii="Arial" w:hAnsi="Arial" w:cs="Arial"/>
                <w:bCs/>
              </w:rPr>
              <w:t>“Auditoría de Cumplimiento Financiero de Ingresos y Gastos</w:t>
            </w:r>
            <w:r w:rsidR="00B470C7" w:rsidRPr="004B552B">
              <w:rPr>
                <w:rFonts w:ascii="Arial" w:hAnsi="Arial" w:cs="Arial"/>
                <w:bCs/>
              </w:rPr>
              <w:t xml:space="preserve"> Públicos</w:t>
            </w:r>
            <w:r w:rsidRPr="004B552B">
              <w:rPr>
                <w:rFonts w:ascii="Arial" w:hAnsi="Arial" w:cs="Arial"/>
                <w:bCs/>
              </w:rPr>
              <w:t>”</w:t>
            </w:r>
          </w:p>
        </w:tc>
      </w:tr>
    </w:tbl>
    <w:p w14:paraId="120A71B7" w14:textId="3F1AC15D" w:rsidR="00AB594B" w:rsidRDefault="00AB594B" w:rsidP="00B93F1F">
      <w:pPr>
        <w:spacing w:line="360" w:lineRule="auto"/>
        <w:jc w:val="both"/>
        <w:rPr>
          <w:rFonts w:ascii="Arial" w:hAnsi="Arial" w:cs="Arial"/>
          <w:b/>
          <w:bCs/>
        </w:rPr>
      </w:pPr>
    </w:p>
    <w:p w14:paraId="25C0B2ED" w14:textId="3F4039C9" w:rsidR="00AA50F2" w:rsidRPr="004B552B" w:rsidRDefault="00FF74D2" w:rsidP="00B93F1F">
      <w:pPr>
        <w:spacing w:line="360" w:lineRule="auto"/>
        <w:jc w:val="both"/>
        <w:rPr>
          <w:rFonts w:ascii="Arial" w:hAnsi="Arial" w:cs="Arial"/>
          <w:b/>
          <w:bCs/>
        </w:rPr>
      </w:pPr>
      <w:r w:rsidRPr="004B552B">
        <w:rPr>
          <w:rFonts w:ascii="Arial" w:hAnsi="Arial" w:cs="Arial"/>
          <w:b/>
          <w:bCs/>
        </w:rPr>
        <w:t>B</w:t>
      </w:r>
      <w:r w:rsidR="000A5A85" w:rsidRPr="004B552B">
        <w:rPr>
          <w:rFonts w:ascii="Arial" w:hAnsi="Arial" w:cs="Arial"/>
          <w:b/>
          <w:bCs/>
        </w:rPr>
        <w:t>.</w:t>
      </w:r>
      <w:r w:rsidR="00AA50F2" w:rsidRPr="004B552B">
        <w:rPr>
          <w:rFonts w:ascii="Arial" w:hAnsi="Arial" w:cs="Arial"/>
          <w:b/>
          <w:bCs/>
        </w:rPr>
        <w:t xml:space="preserve"> Objetivo</w:t>
      </w:r>
    </w:p>
    <w:p w14:paraId="6C9CFC2C" w14:textId="77777777" w:rsidR="00AA50F2" w:rsidRPr="008E5118" w:rsidRDefault="00AA50F2" w:rsidP="00B93F1F">
      <w:pPr>
        <w:spacing w:line="360" w:lineRule="auto"/>
        <w:jc w:val="both"/>
        <w:rPr>
          <w:rFonts w:ascii="Arial" w:hAnsi="Arial" w:cs="Arial"/>
          <w:bCs/>
          <w:sz w:val="20"/>
          <w:szCs w:val="20"/>
        </w:rPr>
      </w:pPr>
    </w:p>
    <w:p w14:paraId="36F3FCCA" w14:textId="54799123" w:rsidR="002145B4" w:rsidRPr="00FB736A" w:rsidRDefault="002145B4" w:rsidP="00FB736A">
      <w:pPr>
        <w:tabs>
          <w:tab w:val="left" w:pos="9498"/>
        </w:tabs>
        <w:spacing w:line="360" w:lineRule="auto"/>
        <w:ind w:right="190"/>
        <w:jc w:val="both"/>
        <w:rPr>
          <w:rFonts w:ascii="Arial" w:hAnsi="Arial" w:cs="Arial"/>
          <w:bCs/>
        </w:rPr>
      </w:pPr>
      <w:r w:rsidRPr="00FB736A">
        <w:rPr>
          <w:rFonts w:ascii="Arial" w:hAnsi="Arial" w:cs="Arial"/>
          <w:bCs/>
        </w:rPr>
        <w:t xml:space="preserve">Fiscalizar la gestión financiera para comprobar el cumplimiento de lo dispuesto en la Ley de Ingresos y el Presupuesto de Egresos, y conforme al Decreto del Diario Oficial de la Federación del 06 de noviembre de 2020, mediante el oficio H0000/498-0/2021, se verificó el cumplimiento de los actos, procedimientos y demás disposiciones aplicables para extinguir el fideicomiso, en cuanto a los ingresos y gastos públicos, incluyendo la revisión del manejo, la custodia y la aplicación de recursos públicos estatales; así como de la demás información financiera, contable, patrimonial, presupuestaria y programática. </w:t>
      </w:r>
    </w:p>
    <w:p w14:paraId="357E0672" w14:textId="77777777" w:rsidR="00FB736A" w:rsidRPr="008E5118" w:rsidRDefault="00FB736A" w:rsidP="00300801">
      <w:pPr>
        <w:spacing w:line="360" w:lineRule="auto"/>
        <w:ind w:right="190"/>
        <w:jc w:val="both"/>
        <w:rPr>
          <w:rFonts w:ascii="Arial" w:hAnsi="Arial" w:cs="Arial"/>
          <w:b/>
          <w:bCs/>
          <w:sz w:val="20"/>
          <w:szCs w:val="20"/>
        </w:rPr>
      </w:pPr>
    </w:p>
    <w:p w14:paraId="600E1A12" w14:textId="6EA47088" w:rsidR="00AA50F2" w:rsidRPr="004B552B" w:rsidRDefault="00FF74D2" w:rsidP="00300801">
      <w:pPr>
        <w:spacing w:line="360" w:lineRule="auto"/>
        <w:ind w:right="190"/>
        <w:jc w:val="both"/>
        <w:rPr>
          <w:rFonts w:ascii="Arial" w:hAnsi="Arial" w:cs="Arial"/>
          <w:b/>
          <w:bCs/>
        </w:rPr>
      </w:pPr>
      <w:r w:rsidRPr="004B552B">
        <w:rPr>
          <w:rFonts w:ascii="Arial" w:hAnsi="Arial" w:cs="Arial"/>
          <w:b/>
          <w:bCs/>
        </w:rPr>
        <w:t>C</w:t>
      </w:r>
      <w:r w:rsidR="000A5A85" w:rsidRPr="004B552B">
        <w:rPr>
          <w:rFonts w:ascii="Arial" w:hAnsi="Arial" w:cs="Arial"/>
          <w:b/>
          <w:bCs/>
        </w:rPr>
        <w:t>.</w:t>
      </w:r>
      <w:r w:rsidR="00AA50F2" w:rsidRPr="004B552B">
        <w:rPr>
          <w:rFonts w:ascii="Arial" w:hAnsi="Arial" w:cs="Arial"/>
          <w:b/>
          <w:bCs/>
        </w:rPr>
        <w:t xml:space="preserve"> Alcance</w:t>
      </w:r>
    </w:p>
    <w:p w14:paraId="61D935DB" w14:textId="432C507C" w:rsidR="00100770" w:rsidRPr="008E5118" w:rsidRDefault="00100770" w:rsidP="006E7F65">
      <w:pPr>
        <w:spacing w:line="360" w:lineRule="auto"/>
        <w:ind w:right="190"/>
        <w:jc w:val="both"/>
        <w:rPr>
          <w:rFonts w:ascii="Arial" w:hAnsi="Arial" w:cs="Arial"/>
          <w:b/>
          <w:bCs/>
          <w:sz w:val="20"/>
          <w:szCs w:val="20"/>
        </w:rPr>
      </w:pPr>
    </w:p>
    <w:p w14:paraId="16187B84" w14:textId="0C454CE9" w:rsidR="00300801" w:rsidRPr="004B552B" w:rsidRDefault="00300801" w:rsidP="006E7F65">
      <w:pPr>
        <w:spacing w:line="360" w:lineRule="auto"/>
        <w:ind w:right="190"/>
        <w:jc w:val="both"/>
        <w:rPr>
          <w:rFonts w:ascii="Arial" w:hAnsi="Arial" w:cs="Arial"/>
          <w:bCs/>
        </w:rPr>
      </w:pPr>
      <w:r w:rsidRPr="004B552B">
        <w:rPr>
          <w:rFonts w:ascii="Arial" w:hAnsi="Arial" w:cs="Arial"/>
          <w:bCs/>
        </w:rPr>
        <w:t xml:space="preserve">Durante el ejercicio fiscal 2022, el </w:t>
      </w:r>
      <w:r w:rsidRPr="004B552B">
        <w:rPr>
          <w:rFonts w:ascii="Arial" w:hAnsi="Arial" w:cs="Arial"/>
          <w:b/>
        </w:rPr>
        <w:t>Fondo Mixto CONACYT-Gobierno del Estado de Quintana Roo</w:t>
      </w:r>
      <w:r w:rsidRPr="004B552B">
        <w:rPr>
          <w:rFonts w:ascii="Arial" w:hAnsi="Arial" w:cs="Arial"/>
        </w:rPr>
        <w:t>, inició el proceso de depuración de cuentas, en el cual se examinaron los saldos de las cuentas, con el propósito de identificar y determinar su recuperación, exigibilidad o procedencia, con el fin de iniciar con el proceso de extinción, por tal motivo no desempeñó tran</w:t>
      </w:r>
      <w:r w:rsidR="00412EDF" w:rsidRPr="004B552B">
        <w:rPr>
          <w:rFonts w:ascii="Arial" w:hAnsi="Arial" w:cs="Arial"/>
        </w:rPr>
        <w:t>sacciones económicas, enfocando esta auditoría</w:t>
      </w:r>
      <w:r w:rsidRPr="004B552B">
        <w:rPr>
          <w:rFonts w:ascii="Arial" w:hAnsi="Arial" w:cs="Arial"/>
        </w:rPr>
        <w:t xml:space="preserve"> únicamente en el análisis de los Estados Financieros, la integración del soporte de la Cuenta Pública, así como todo lo concerniente al proceso de extinción.</w:t>
      </w:r>
    </w:p>
    <w:p w14:paraId="3818E331" w14:textId="77777777" w:rsidR="00367D30" w:rsidRPr="008E5118" w:rsidRDefault="00367D30" w:rsidP="006E7F65">
      <w:pPr>
        <w:spacing w:line="360" w:lineRule="auto"/>
        <w:ind w:right="190"/>
        <w:jc w:val="both"/>
        <w:rPr>
          <w:rFonts w:ascii="Arial" w:hAnsi="Arial" w:cs="Arial"/>
          <w:bCs/>
          <w:sz w:val="20"/>
          <w:szCs w:val="20"/>
        </w:rPr>
      </w:pPr>
    </w:p>
    <w:p w14:paraId="225F6A6F" w14:textId="76F35117" w:rsidR="003A721E" w:rsidRPr="004B552B" w:rsidRDefault="00FF74D2" w:rsidP="003A721E">
      <w:pPr>
        <w:spacing w:line="360" w:lineRule="auto"/>
        <w:ind w:right="190"/>
        <w:jc w:val="both"/>
        <w:rPr>
          <w:rFonts w:ascii="Arial" w:hAnsi="Arial" w:cs="Arial"/>
          <w:b/>
          <w:bCs/>
        </w:rPr>
      </w:pPr>
      <w:r w:rsidRPr="004B552B">
        <w:rPr>
          <w:rFonts w:ascii="Arial" w:hAnsi="Arial" w:cs="Arial"/>
          <w:b/>
          <w:bCs/>
        </w:rPr>
        <w:t>D</w:t>
      </w:r>
      <w:r w:rsidR="003C1A99" w:rsidRPr="004B552B">
        <w:rPr>
          <w:rFonts w:ascii="Arial" w:hAnsi="Arial" w:cs="Arial"/>
          <w:b/>
          <w:bCs/>
        </w:rPr>
        <w:t xml:space="preserve">. Criterios de </w:t>
      </w:r>
      <w:r w:rsidR="00FA4D20" w:rsidRPr="004B552B">
        <w:rPr>
          <w:rFonts w:ascii="Arial" w:hAnsi="Arial" w:cs="Arial"/>
          <w:b/>
          <w:bCs/>
        </w:rPr>
        <w:t>S</w:t>
      </w:r>
      <w:r w:rsidR="00E43850" w:rsidRPr="004B552B">
        <w:rPr>
          <w:rFonts w:ascii="Arial" w:hAnsi="Arial" w:cs="Arial"/>
          <w:b/>
          <w:bCs/>
        </w:rPr>
        <w:t>elección</w:t>
      </w:r>
    </w:p>
    <w:p w14:paraId="7AAA5C5B" w14:textId="77777777" w:rsidR="005274CB" w:rsidRPr="008E5118" w:rsidRDefault="005274CB" w:rsidP="00FC2B31">
      <w:pPr>
        <w:tabs>
          <w:tab w:val="left" w:pos="9498"/>
        </w:tabs>
        <w:spacing w:line="360" w:lineRule="auto"/>
        <w:ind w:right="190"/>
        <w:jc w:val="both"/>
        <w:rPr>
          <w:rFonts w:ascii="Arial" w:hAnsi="Arial" w:cs="Arial"/>
          <w:bCs/>
          <w:sz w:val="20"/>
          <w:szCs w:val="20"/>
        </w:rPr>
      </w:pPr>
    </w:p>
    <w:p w14:paraId="3D885DDD" w14:textId="5874D29C" w:rsidR="002E1AEF" w:rsidRPr="004B552B" w:rsidRDefault="00035255" w:rsidP="0017430A">
      <w:pPr>
        <w:spacing w:line="360" w:lineRule="auto"/>
        <w:ind w:right="190"/>
        <w:jc w:val="both"/>
        <w:rPr>
          <w:rFonts w:ascii="Arial" w:hAnsi="Arial" w:cs="Arial"/>
        </w:rPr>
      </w:pPr>
      <w:r w:rsidRPr="004B552B">
        <w:rPr>
          <w:rFonts w:ascii="Arial" w:hAnsi="Arial" w:cs="Arial"/>
        </w:rPr>
        <w:t>En l</w:t>
      </w:r>
      <w:r w:rsidR="003A721E" w:rsidRPr="004B552B">
        <w:rPr>
          <w:rFonts w:ascii="Arial" w:hAnsi="Arial" w:cs="Arial"/>
        </w:rPr>
        <w:t>a auditoría realizada</w:t>
      </w:r>
      <w:r w:rsidRPr="004B552B">
        <w:rPr>
          <w:rFonts w:ascii="Arial" w:hAnsi="Arial" w:cs="Arial"/>
        </w:rPr>
        <w:t xml:space="preserve"> se</w:t>
      </w:r>
      <w:r w:rsidR="003A721E" w:rsidRPr="004B552B">
        <w:rPr>
          <w:rFonts w:ascii="Arial" w:hAnsi="Arial" w:cs="Arial"/>
        </w:rPr>
        <w:t xml:space="preserve"> </w:t>
      </w:r>
      <w:r w:rsidRPr="004B552B">
        <w:rPr>
          <w:rFonts w:ascii="Arial" w:hAnsi="Arial" w:cs="Arial"/>
        </w:rPr>
        <w:t>buscó</w:t>
      </w:r>
      <w:r w:rsidR="003A721E" w:rsidRPr="004B552B">
        <w:rPr>
          <w:rFonts w:ascii="Arial" w:hAnsi="Arial" w:cs="Arial"/>
        </w:rPr>
        <w:t xml:space="preserve"> obtener una seguridad razonable el objetivo y alcance planteado</w:t>
      </w:r>
      <w:r w:rsidRPr="004B552B">
        <w:rPr>
          <w:rFonts w:ascii="Arial" w:hAnsi="Arial" w:cs="Arial"/>
        </w:rPr>
        <w:t>s</w:t>
      </w:r>
      <w:r w:rsidR="00C53B29" w:rsidRPr="004B552B">
        <w:rPr>
          <w:rFonts w:ascii="Arial" w:hAnsi="Arial" w:cs="Arial"/>
        </w:rPr>
        <w:t xml:space="preserve"> para la fiscalización de la entidad</w:t>
      </w:r>
      <w:r w:rsidR="00643D09" w:rsidRPr="004B552B">
        <w:rPr>
          <w:rFonts w:ascii="Arial" w:hAnsi="Arial" w:cs="Arial"/>
        </w:rPr>
        <w:t>,</w:t>
      </w:r>
      <w:r w:rsidR="003A721E" w:rsidRPr="004B552B">
        <w:rPr>
          <w:rFonts w:ascii="Arial" w:hAnsi="Arial" w:cs="Arial"/>
        </w:rPr>
        <w:t xml:space="preserve"> </w:t>
      </w:r>
      <w:r w:rsidR="000C5FF6" w:rsidRPr="004B552B">
        <w:rPr>
          <w:rFonts w:ascii="Arial" w:hAnsi="Arial" w:cs="Arial"/>
        </w:rPr>
        <w:t xml:space="preserve">respecto </w:t>
      </w:r>
      <w:r w:rsidR="00412EDF" w:rsidRPr="004B552B">
        <w:rPr>
          <w:rFonts w:ascii="Arial" w:hAnsi="Arial" w:cs="Arial"/>
        </w:rPr>
        <w:t>a</w:t>
      </w:r>
      <w:r w:rsidR="009044A0" w:rsidRPr="004B552B">
        <w:rPr>
          <w:rFonts w:ascii="Arial" w:hAnsi="Arial" w:cs="Arial"/>
        </w:rPr>
        <w:t xml:space="preserve"> </w:t>
      </w:r>
      <w:r w:rsidR="00412EDF" w:rsidRPr="004B552B">
        <w:rPr>
          <w:rFonts w:ascii="Arial" w:hAnsi="Arial" w:cs="Arial"/>
        </w:rPr>
        <w:t>l</w:t>
      </w:r>
      <w:r w:rsidR="009044A0" w:rsidRPr="004B552B">
        <w:rPr>
          <w:rFonts w:ascii="Arial" w:hAnsi="Arial" w:cs="Arial"/>
        </w:rPr>
        <w:t>os</w:t>
      </w:r>
      <w:r w:rsidR="00412EDF" w:rsidRPr="004B552B">
        <w:rPr>
          <w:rFonts w:ascii="Arial" w:hAnsi="Arial" w:cs="Arial"/>
        </w:rPr>
        <w:t xml:space="preserve"> procesos de depuración de </w:t>
      </w:r>
      <w:r w:rsidR="00412EDF" w:rsidRPr="00F9016E">
        <w:rPr>
          <w:rFonts w:ascii="Arial" w:hAnsi="Arial" w:cs="Arial"/>
        </w:rPr>
        <w:t>cuentas</w:t>
      </w:r>
      <w:r w:rsidR="00953D26" w:rsidRPr="00F9016E">
        <w:rPr>
          <w:rFonts w:ascii="Arial" w:hAnsi="Arial" w:cs="Arial"/>
        </w:rPr>
        <w:t xml:space="preserve"> y </w:t>
      </w:r>
      <w:r w:rsidR="00F9016E" w:rsidRPr="00F9016E">
        <w:rPr>
          <w:rFonts w:ascii="Arial" w:hAnsi="Arial" w:cs="Arial"/>
        </w:rPr>
        <w:t>los aspectos relevantes del Contrato de Cesión de Derechos y Obligaciones a</w:t>
      </w:r>
      <w:r w:rsidR="00F9016E" w:rsidRPr="004B552B">
        <w:rPr>
          <w:rFonts w:ascii="Arial" w:hAnsi="Arial" w:cs="Arial"/>
        </w:rPr>
        <w:t xml:space="preserve"> Título Gratuito, y el Convenio de Extinción total al Contrato de Fideicomiso denominado </w:t>
      </w:r>
      <w:r w:rsidR="00F9016E" w:rsidRPr="004B552B">
        <w:rPr>
          <w:rFonts w:ascii="Arial" w:hAnsi="Arial" w:cs="Arial"/>
          <w:b/>
        </w:rPr>
        <w:t>“Fondo Mixto CONACYT-Gobierno del Estado de Quintana Roo”</w:t>
      </w:r>
      <w:r w:rsidR="00F9016E" w:rsidRPr="004B552B">
        <w:rPr>
          <w:rFonts w:ascii="Arial" w:hAnsi="Arial" w:cs="Arial"/>
        </w:rPr>
        <w:t xml:space="preserve">, </w:t>
      </w:r>
      <w:r w:rsidR="00F9016E" w:rsidRPr="004B552B">
        <w:rPr>
          <w:rFonts w:ascii="Arial" w:hAnsi="Arial" w:cs="Arial"/>
          <w:b/>
        </w:rPr>
        <w:t>FON.MIX.16/2022</w:t>
      </w:r>
      <w:r w:rsidR="00F9016E">
        <w:rPr>
          <w:rFonts w:ascii="Arial" w:hAnsi="Arial" w:cs="Arial"/>
        </w:rPr>
        <w:t xml:space="preserve">, </w:t>
      </w:r>
      <w:r w:rsidRPr="004B552B">
        <w:rPr>
          <w:rFonts w:ascii="Arial" w:hAnsi="Arial" w:cs="Arial"/>
        </w:rPr>
        <w:t>hayan cumplido</w:t>
      </w:r>
      <w:r w:rsidR="003A721E" w:rsidRPr="004B552B">
        <w:rPr>
          <w:rFonts w:ascii="Arial" w:hAnsi="Arial" w:cs="Arial"/>
        </w:rPr>
        <w:t xml:space="preserve"> con los aspectos y criterios apegados </w:t>
      </w:r>
      <w:r w:rsidR="00C53B29" w:rsidRPr="004B552B">
        <w:rPr>
          <w:rFonts w:ascii="Arial" w:hAnsi="Arial" w:cs="Arial"/>
        </w:rPr>
        <w:t xml:space="preserve">a </w:t>
      </w:r>
      <w:r w:rsidR="00531A3F" w:rsidRPr="004B552B">
        <w:rPr>
          <w:rFonts w:ascii="Arial" w:hAnsi="Arial" w:cs="Arial"/>
        </w:rPr>
        <w:t xml:space="preserve">las </w:t>
      </w:r>
      <w:r w:rsidR="003A721E" w:rsidRPr="004B552B">
        <w:rPr>
          <w:rFonts w:ascii="Arial" w:hAnsi="Arial" w:cs="Arial"/>
        </w:rPr>
        <w:t>Normas Profesionales de Auditoría del Sistema Nacional de Fiscalización</w:t>
      </w:r>
      <w:r w:rsidR="003863D1" w:rsidRPr="004B552B">
        <w:rPr>
          <w:rFonts w:ascii="Arial" w:hAnsi="Arial" w:cs="Arial"/>
        </w:rPr>
        <w:t xml:space="preserve"> (NPASNF)</w:t>
      </w:r>
      <w:r w:rsidR="00412EDF" w:rsidRPr="004B552B">
        <w:rPr>
          <w:rFonts w:ascii="Arial" w:hAnsi="Arial" w:cs="Arial"/>
        </w:rPr>
        <w:t>.</w:t>
      </w:r>
    </w:p>
    <w:p w14:paraId="3385C745" w14:textId="77777777" w:rsidR="002E1AEF" w:rsidRPr="008E5118" w:rsidRDefault="002E1AEF" w:rsidP="003A721E">
      <w:pPr>
        <w:spacing w:line="360" w:lineRule="auto"/>
        <w:ind w:right="190"/>
        <w:jc w:val="both"/>
        <w:rPr>
          <w:rFonts w:ascii="Arial" w:hAnsi="Arial" w:cs="Arial"/>
          <w:sz w:val="20"/>
          <w:szCs w:val="20"/>
        </w:rPr>
      </w:pPr>
    </w:p>
    <w:p w14:paraId="5B848BAB" w14:textId="38316C69" w:rsidR="001747A8" w:rsidRPr="004B552B" w:rsidRDefault="003A721E" w:rsidP="00FB736A">
      <w:pPr>
        <w:spacing w:line="360" w:lineRule="auto"/>
        <w:ind w:right="190"/>
        <w:jc w:val="both"/>
        <w:rPr>
          <w:rFonts w:ascii="Arial" w:hAnsi="Arial" w:cs="Arial"/>
        </w:rPr>
      </w:pPr>
      <w:r w:rsidRPr="004B552B">
        <w:rPr>
          <w:rFonts w:ascii="Arial" w:hAnsi="Arial" w:cs="Arial"/>
        </w:rPr>
        <w:t>Para la determinación de los rubros u opera</w:t>
      </w:r>
      <w:r w:rsidR="00531A3F" w:rsidRPr="004B552B">
        <w:rPr>
          <w:rFonts w:ascii="Arial" w:hAnsi="Arial" w:cs="Arial"/>
        </w:rPr>
        <w:t>ciones a revisar en la a</w:t>
      </w:r>
      <w:r w:rsidRPr="004B552B">
        <w:rPr>
          <w:rFonts w:ascii="Arial" w:hAnsi="Arial" w:cs="Arial"/>
        </w:rPr>
        <w:t>uditor</w:t>
      </w:r>
      <w:r w:rsidR="00531A3F" w:rsidRPr="004B552B">
        <w:rPr>
          <w:rFonts w:ascii="Arial" w:hAnsi="Arial" w:cs="Arial"/>
        </w:rPr>
        <w:t>í</w:t>
      </w:r>
      <w:r w:rsidRPr="004B552B">
        <w:rPr>
          <w:rFonts w:ascii="Arial" w:hAnsi="Arial" w:cs="Arial"/>
        </w:rPr>
        <w:t>a, se llev</w:t>
      </w:r>
      <w:r w:rsidR="002D2413" w:rsidRPr="004B552B">
        <w:rPr>
          <w:rFonts w:ascii="Arial" w:hAnsi="Arial" w:cs="Arial"/>
        </w:rPr>
        <w:t>ó a cabo un estudio previo de</w:t>
      </w:r>
      <w:r w:rsidR="00760CC9" w:rsidRPr="004B552B">
        <w:rPr>
          <w:rFonts w:ascii="Arial" w:hAnsi="Arial" w:cs="Arial"/>
        </w:rPr>
        <w:t xml:space="preserve"> </w:t>
      </w:r>
      <w:r w:rsidRPr="004B552B">
        <w:rPr>
          <w:rFonts w:ascii="Arial" w:hAnsi="Arial" w:cs="Arial"/>
        </w:rPr>
        <w:t xml:space="preserve">toda </w:t>
      </w:r>
      <w:r w:rsidR="006D7912" w:rsidRPr="004B552B">
        <w:rPr>
          <w:rFonts w:ascii="Arial" w:hAnsi="Arial" w:cs="Arial"/>
        </w:rPr>
        <w:t xml:space="preserve">la información concerniente al </w:t>
      </w:r>
      <w:r w:rsidR="006D7912" w:rsidRPr="004B552B">
        <w:rPr>
          <w:rFonts w:ascii="Arial" w:hAnsi="Arial" w:cs="Arial"/>
          <w:b/>
        </w:rPr>
        <w:t>Fondo Mixto CONACYT-Gobierno del Estado de Quintana Roo</w:t>
      </w:r>
      <w:r w:rsidR="00CA3A11" w:rsidRPr="004B552B">
        <w:rPr>
          <w:rFonts w:ascii="Arial" w:hAnsi="Arial" w:cs="Arial"/>
        </w:rPr>
        <w:t xml:space="preserve">, </w:t>
      </w:r>
      <w:r w:rsidRPr="004B552B">
        <w:rPr>
          <w:rFonts w:ascii="Arial" w:hAnsi="Arial" w:cs="Arial"/>
        </w:rPr>
        <w:t>siendo la</w:t>
      </w:r>
      <w:r w:rsidR="001B285B" w:rsidRPr="004B552B">
        <w:rPr>
          <w:rFonts w:ascii="Arial" w:hAnsi="Arial" w:cs="Arial"/>
        </w:rPr>
        <w:t>s</w:t>
      </w:r>
      <w:r w:rsidRPr="004B552B">
        <w:rPr>
          <w:rFonts w:ascii="Arial" w:hAnsi="Arial" w:cs="Arial"/>
        </w:rPr>
        <w:t xml:space="preserve"> principal</w:t>
      </w:r>
      <w:r w:rsidR="001B285B" w:rsidRPr="004B552B">
        <w:rPr>
          <w:rFonts w:ascii="Arial" w:hAnsi="Arial" w:cs="Arial"/>
        </w:rPr>
        <w:t>es</w:t>
      </w:r>
      <w:r w:rsidRPr="004B552B">
        <w:rPr>
          <w:rFonts w:ascii="Arial" w:hAnsi="Arial" w:cs="Arial"/>
        </w:rPr>
        <w:t xml:space="preserve"> fuente</w:t>
      </w:r>
      <w:r w:rsidR="001B285B" w:rsidRPr="004B552B">
        <w:rPr>
          <w:rFonts w:ascii="Arial" w:hAnsi="Arial" w:cs="Arial"/>
        </w:rPr>
        <w:t>s</w:t>
      </w:r>
      <w:r w:rsidRPr="004B552B">
        <w:rPr>
          <w:rFonts w:ascii="Arial" w:hAnsi="Arial" w:cs="Arial"/>
        </w:rPr>
        <w:t xml:space="preserve"> de información financiera </w:t>
      </w:r>
      <w:r w:rsidR="00FA5BCA" w:rsidRPr="004B552B">
        <w:rPr>
          <w:rFonts w:ascii="Arial" w:hAnsi="Arial" w:cs="Arial"/>
        </w:rPr>
        <w:t>su</w:t>
      </w:r>
      <w:r w:rsidR="001B285B" w:rsidRPr="004B552B">
        <w:rPr>
          <w:rFonts w:ascii="Arial" w:hAnsi="Arial" w:cs="Arial"/>
        </w:rPr>
        <w:t>s</w:t>
      </w:r>
      <w:r w:rsidR="00FA5BCA" w:rsidRPr="004B552B">
        <w:rPr>
          <w:rFonts w:ascii="Arial" w:hAnsi="Arial" w:cs="Arial"/>
        </w:rPr>
        <w:t xml:space="preserve"> estado</w:t>
      </w:r>
      <w:r w:rsidR="001B285B" w:rsidRPr="004B552B">
        <w:rPr>
          <w:rFonts w:ascii="Arial" w:hAnsi="Arial" w:cs="Arial"/>
        </w:rPr>
        <w:t>s</w:t>
      </w:r>
      <w:r w:rsidR="00FA5BCA" w:rsidRPr="004B552B">
        <w:rPr>
          <w:rFonts w:ascii="Arial" w:hAnsi="Arial" w:cs="Arial"/>
        </w:rPr>
        <w:t xml:space="preserve"> contable</w:t>
      </w:r>
      <w:r w:rsidR="001B285B" w:rsidRPr="004B552B">
        <w:rPr>
          <w:rFonts w:ascii="Arial" w:hAnsi="Arial" w:cs="Arial"/>
        </w:rPr>
        <w:t>s,</w:t>
      </w:r>
      <w:r w:rsidR="00F35BF6" w:rsidRPr="004B552B">
        <w:rPr>
          <w:rFonts w:ascii="Arial" w:hAnsi="Arial" w:cs="Arial"/>
        </w:rPr>
        <w:t xml:space="preserve"> </w:t>
      </w:r>
      <w:r w:rsidR="00412EDF" w:rsidRPr="004B552B">
        <w:rPr>
          <w:rFonts w:ascii="Arial" w:hAnsi="Arial" w:cs="Arial"/>
        </w:rPr>
        <w:t xml:space="preserve">y Contrato de Cesión de Derechos y Obligaciones a Título Gratuito, y el Convenio de Extinción total al Contrato de Fideicomiso denominado </w:t>
      </w:r>
      <w:r w:rsidR="00412EDF" w:rsidRPr="004B552B">
        <w:rPr>
          <w:rFonts w:ascii="Arial" w:hAnsi="Arial" w:cs="Arial"/>
          <w:b/>
        </w:rPr>
        <w:t>“Fondo Mixto CONACYT-Gobierno del Estado de Quintana Roo”</w:t>
      </w:r>
      <w:r w:rsidR="00412EDF" w:rsidRPr="004B552B">
        <w:rPr>
          <w:rFonts w:ascii="Arial" w:hAnsi="Arial" w:cs="Arial"/>
        </w:rPr>
        <w:t xml:space="preserve">, </w:t>
      </w:r>
      <w:r w:rsidR="00412EDF" w:rsidRPr="004B552B">
        <w:rPr>
          <w:rFonts w:ascii="Arial" w:hAnsi="Arial" w:cs="Arial"/>
          <w:b/>
        </w:rPr>
        <w:t xml:space="preserve">FON.MIX.16/2022, </w:t>
      </w:r>
      <w:r w:rsidR="001B285B" w:rsidRPr="004B552B">
        <w:rPr>
          <w:rFonts w:ascii="Arial" w:hAnsi="Arial" w:cs="Arial"/>
        </w:rPr>
        <w:t xml:space="preserve">los </w:t>
      </w:r>
      <w:r w:rsidR="00FA5BCA" w:rsidRPr="004B552B">
        <w:rPr>
          <w:rFonts w:ascii="Arial" w:hAnsi="Arial" w:cs="Arial"/>
        </w:rPr>
        <w:t>cual</w:t>
      </w:r>
      <w:r w:rsidR="001B285B" w:rsidRPr="004B552B">
        <w:rPr>
          <w:rFonts w:ascii="Arial" w:hAnsi="Arial" w:cs="Arial"/>
        </w:rPr>
        <w:t>es</w:t>
      </w:r>
      <w:r w:rsidRPr="004B552B">
        <w:rPr>
          <w:rFonts w:ascii="Arial" w:hAnsi="Arial" w:cs="Arial"/>
        </w:rPr>
        <w:t xml:space="preserve"> </w:t>
      </w:r>
      <w:r w:rsidR="00FA5BCA" w:rsidRPr="004B552B">
        <w:rPr>
          <w:rFonts w:ascii="Arial" w:hAnsi="Arial" w:cs="Arial"/>
        </w:rPr>
        <w:t>fue</w:t>
      </w:r>
      <w:r w:rsidR="001B285B" w:rsidRPr="004B552B">
        <w:rPr>
          <w:rFonts w:ascii="Arial" w:hAnsi="Arial" w:cs="Arial"/>
        </w:rPr>
        <w:t>ron</w:t>
      </w:r>
      <w:r w:rsidR="00FA5BCA" w:rsidRPr="004B552B">
        <w:rPr>
          <w:rFonts w:ascii="Arial" w:hAnsi="Arial" w:cs="Arial"/>
        </w:rPr>
        <w:t xml:space="preserve"> analizado</w:t>
      </w:r>
      <w:r w:rsidR="001B285B" w:rsidRPr="004B552B">
        <w:rPr>
          <w:rFonts w:ascii="Arial" w:hAnsi="Arial" w:cs="Arial"/>
        </w:rPr>
        <w:t>s</w:t>
      </w:r>
      <w:r w:rsidR="00852E00" w:rsidRPr="004B552B">
        <w:rPr>
          <w:rFonts w:ascii="Arial" w:hAnsi="Arial" w:cs="Arial"/>
        </w:rPr>
        <w:t xml:space="preserve"> </w:t>
      </w:r>
      <w:r w:rsidRPr="004B552B">
        <w:rPr>
          <w:rFonts w:ascii="Arial" w:hAnsi="Arial" w:cs="Arial"/>
        </w:rPr>
        <w:t>para la obtención de indicios de auditor</w:t>
      </w:r>
      <w:r w:rsidR="00852E00" w:rsidRPr="004B552B">
        <w:rPr>
          <w:rFonts w:ascii="Arial" w:hAnsi="Arial" w:cs="Arial"/>
        </w:rPr>
        <w:t>í</w:t>
      </w:r>
      <w:r w:rsidRPr="004B552B">
        <w:rPr>
          <w:rFonts w:ascii="Arial" w:hAnsi="Arial" w:cs="Arial"/>
        </w:rPr>
        <w:t>a</w:t>
      </w:r>
      <w:r w:rsidR="00852E00" w:rsidRPr="004B552B">
        <w:rPr>
          <w:rFonts w:ascii="Arial" w:hAnsi="Arial" w:cs="Arial"/>
        </w:rPr>
        <w:t>,</w:t>
      </w:r>
      <w:r w:rsidRPr="004B552B">
        <w:rPr>
          <w:rFonts w:ascii="Arial" w:hAnsi="Arial" w:cs="Arial"/>
        </w:rPr>
        <w:t xml:space="preserve"> consider</w:t>
      </w:r>
      <w:r w:rsidR="00852E00" w:rsidRPr="004B552B">
        <w:rPr>
          <w:rFonts w:ascii="Arial" w:hAnsi="Arial" w:cs="Arial"/>
        </w:rPr>
        <w:t>ando que dichos</w:t>
      </w:r>
      <w:r w:rsidRPr="004B552B">
        <w:rPr>
          <w:rFonts w:ascii="Arial" w:hAnsi="Arial" w:cs="Arial"/>
        </w:rPr>
        <w:t xml:space="preserve"> estados estuvieron sujetos a los criterios de utilidad, confiabilidad, relevancia, comprensibilidad y de comparación, así como a otros atributos asociados a cada uno de ellos, como oportunidad, veracidad, representatividad</w:t>
      </w:r>
      <w:r w:rsidR="00852E00" w:rsidRPr="004B552B">
        <w:rPr>
          <w:rFonts w:ascii="Arial" w:hAnsi="Arial" w:cs="Arial"/>
        </w:rPr>
        <w:t xml:space="preserve"> y</w:t>
      </w:r>
      <w:r w:rsidRPr="004B552B">
        <w:rPr>
          <w:rFonts w:ascii="Arial" w:hAnsi="Arial" w:cs="Arial"/>
        </w:rPr>
        <w:t xml:space="preserve"> objetividad.</w:t>
      </w:r>
      <w:r w:rsidR="003B7F9D" w:rsidRPr="004B552B">
        <w:rPr>
          <w:rFonts w:ascii="Arial" w:hAnsi="Arial" w:cs="Arial"/>
        </w:rPr>
        <w:t xml:space="preserve"> </w:t>
      </w:r>
      <w:r w:rsidR="00CA3A11" w:rsidRPr="004B552B">
        <w:rPr>
          <w:rFonts w:ascii="Arial" w:hAnsi="Arial" w:cs="Arial"/>
        </w:rPr>
        <w:t>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E891235" w14:textId="77777777" w:rsidR="0061203F" w:rsidRPr="008E5118" w:rsidRDefault="0061203F" w:rsidP="00391B50">
      <w:pPr>
        <w:spacing w:line="360" w:lineRule="auto"/>
        <w:ind w:right="190"/>
        <w:jc w:val="both"/>
        <w:rPr>
          <w:rFonts w:ascii="Arial" w:hAnsi="Arial" w:cs="Arial"/>
          <w:sz w:val="20"/>
          <w:szCs w:val="20"/>
        </w:rPr>
      </w:pPr>
    </w:p>
    <w:p w14:paraId="127CB1DB" w14:textId="34FDFABE" w:rsidR="003A721E" w:rsidRPr="004B552B" w:rsidRDefault="003A721E" w:rsidP="00391B50">
      <w:pPr>
        <w:spacing w:line="360" w:lineRule="auto"/>
        <w:ind w:right="190"/>
        <w:jc w:val="both"/>
        <w:rPr>
          <w:rFonts w:ascii="Arial" w:hAnsi="Arial" w:cs="Arial"/>
        </w:rPr>
      </w:pPr>
      <w:r w:rsidRPr="004B552B">
        <w:rPr>
          <w:rFonts w:ascii="Arial" w:hAnsi="Arial" w:cs="Arial"/>
        </w:rPr>
        <w:t>El criterio de selección se apoyó en dos rubros principales, el cualitativo y el cuantitativo, de acuerdo a las facultades y atribuciones permitidas en el marco legal aplicable de</w:t>
      </w:r>
      <w:r w:rsidR="00860EFD" w:rsidRPr="004B552B">
        <w:rPr>
          <w:rFonts w:ascii="Arial" w:hAnsi="Arial" w:cs="Arial"/>
        </w:rPr>
        <w:t>l</w:t>
      </w:r>
      <w:r w:rsidRPr="004B552B">
        <w:rPr>
          <w:rFonts w:ascii="Arial" w:hAnsi="Arial" w:cs="Arial"/>
        </w:rPr>
        <w:t xml:space="preserve"> proceso de fiscalización,</w:t>
      </w:r>
      <w:r w:rsidR="00A03AEC" w:rsidRPr="004B552B">
        <w:rPr>
          <w:rFonts w:ascii="Arial" w:hAnsi="Arial" w:cs="Arial"/>
        </w:rPr>
        <w:t xml:space="preserve"> determinándose mediante la competencia técnica y </w:t>
      </w:r>
      <w:r w:rsidR="001747A8" w:rsidRPr="004B552B">
        <w:rPr>
          <w:rFonts w:ascii="Arial" w:hAnsi="Arial" w:cs="Arial"/>
        </w:rPr>
        <w:t>profesional l</w:t>
      </w:r>
      <w:r w:rsidR="00860EFD" w:rsidRPr="004B552B">
        <w:rPr>
          <w:rFonts w:ascii="Arial" w:hAnsi="Arial" w:cs="Arial"/>
        </w:rPr>
        <w:t>a</w:t>
      </w:r>
      <w:r w:rsidR="00391B50" w:rsidRPr="004B552B">
        <w:rPr>
          <w:rFonts w:ascii="Arial" w:hAnsi="Arial" w:cs="Arial"/>
        </w:rPr>
        <w:t xml:space="preserve"> </w:t>
      </w:r>
      <w:r w:rsidRPr="004B552B">
        <w:rPr>
          <w:rFonts w:ascii="Arial" w:hAnsi="Arial" w:cs="Arial"/>
        </w:rPr>
        <w:t>actuación fiscalizadora</w:t>
      </w:r>
      <w:r w:rsidR="00255FCA" w:rsidRPr="004B552B">
        <w:rPr>
          <w:rFonts w:ascii="Arial" w:hAnsi="Arial" w:cs="Arial"/>
        </w:rPr>
        <w:t>,</w:t>
      </w:r>
      <w:r w:rsidRPr="004B552B">
        <w:rPr>
          <w:rFonts w:ascii="Arial" w:hAnsi="Arial" w:cs="Arial"/>
        </w:rPr>
        <w:t xml:space="preserve"> </w:t>
      </w:r>
      <w:r w:rsidR="00255FCA" w:rsidRPr="004B552B">
        <w:rPr>
          <w:rFonts w:ascii="Arial" w:hAnsi="Arial" w:cs="Arial"/>
        </w:rPr>
        <w:t>basándose</w:t>
      </w:r>
      <w:r w:rsidR="00391B50" w:rsidRPr="004B552B">
        <w:rPr>
          <w:rFonts w:ascii="Arial" w:hAnsi="Arial" w:cs="Arial"/>
        </w:rPr>
        <w:t xml:space="preserve"> en</w:t>
      </w:r>
      <w:r w:rsidRPr="004B552B">
        <w:rPr>
          <w:rFonts w:ascii="Arial" w:hAnsi="Arial" w:cs="Arial"/>
        </w:rPr>
        <w:t xml:space="preserve"> diversos elementos y factores que se integraron en los procedimientos de auditor</w:t>
      </w:r>
      <w:r w:rsidR="00860EFD" w:rsidRPr="004B552B">
        <w:rPr>
          <w:rFonts w:ascii="Arial" w:hAnsi="Arial" w:cs="Arial"/>
        </w:rPr>
        <w:t>í</w:t>
      </w:r>
      <w:r w:rsidRPr="004B552B">
        <w:rPr>
          <w:rFonts w:ascii="Arial" w:hAnsi="Arial" w:cs="Arial"/>
        </w:rPr>
        <w:t>a aplicados y que se reflejaron en la planeación genérica, la planeación específica y el programa específico de auditoría</w:t>
      </w:r>
      <w:r w:rsidR="001D7D24" w:rsidRPr="004B552B">
        <w:rPr>
          <w:rFonts w:ascii="Arial" w:hAnsi="Arial" w:cs="Arial"/>
        </w:rPr>
        <w:t xml:space="preserve">, </w:t>
      </w:r>
      <w:r w:rsidR="00860EFD" w:rsidRPr="004B552B">
        <w:rPr>
          <w:rFonts w:ascii="Arial" w:hAnsi="Arial" w:cs="Arial"/>
        </w:rPr>
        <w:t xml:space="preserve">dando con ello </w:t>
      </w:r>
      <w:r w:rsidR="001D7D24" w:rsidRPr="004B552B">
        <w:rPr>
          <w:rFonts w:ascii="Arial" w:hAnsi="Arial" w:cs="Arial"/>
        </w:rPr>
        <w:t xml:space="preserve">cumplimiento </w:t>
      </w:r>
      <w:r w:rsidR="00860EFD" w:rsidRPr="004B552B">
        <w:rPr>
          <w:rFonts w:ascii="Arial" w:hAnsi="Arial" w:cs="Arial"/>
        </w:rPr>
        <w:t>a</w:t>
      </w:r>
      <w:r w:rsidR="001D7D24" w:rsidRPr="004B552B">
        <w:rPr>
          <w:rFonts w:ascii="Arial" w:hAnsi="Arial" w:cs="Arial"/>
        </w:rPr>
        <w:t xml:space="preserve"> las etapas de planificación, programación, ejecución y elaboración de informe</w:t>
      </w:r>
      <w:r w:rsidR="00391B50" w:rsidRPr="004B552B">
        <w:rPr>
          <w:rFonts w:ascii="Arial" w:hAnsi="Arial" w:cs="Arial"/>
        </w:rPr>
        <w:t>s</w:t>
      </w:r>
      <w:r w:rsidR="00860EFD" w:rsidRPr="004B552B">
        <w:rPr>
          <w:rFonts w:ascii="Arial" w:hAnsi="Arial" w:cs="Arial"/>
        </w:rPr>
        <w:t>,</w:t>
      </w:r>
      <w:r w:rsidR="00391B50" w:rsidRPr="004B552B">
        <w:rPr>
          <w:rFonts w:ascii="Arial" w:hAnsi="Arial" w:cs="Arial"/>
        </w:rPr>
        <w:t xml:space="preserve"> estipulada</w:t>
      </w:r>
      <w:r w:rsidR="00860EFD" w:rsidRPr="004B552B">
        <w:rPr>
          <w:rFonts w:ascii="Arial" w:hAnsi="Arial" w:cs="Arial"/>
        </w:rPr>
        <w:t>s</w:t>
      </w:r>
      <w:r w:rsidR="00391B50" w:rsidRPr="004B552B">
        <w:rPr>
          <w:rFonts w:ascii="Arial" w:hAnsi="Arial" w:cs="Arial"/>
        </w:rPr>
        <w:t xml:space="preserve"> en las NPASNF.</w:t>
      </w:r>
    </w:p>
    <w:p w14:paraId="40BEE4A4" w14:textId="3CF7B440" w:rsidR="00CB1F09" w:rsidRPr="008E5118" w:rsidRDefault="00CB1F09" w:rsidP="00B93F1F">
      <w:pPr>
        <w:spacing w:line="360" w:lineRule="auto"/>
        <w:jc w:val="both"/>
        <w:rPr>
          <w:rFonts w:ascii="Arial" w:hAnsi="Arial" w:cs="Arial"/>
          <w:b/>
          <w:sz w:val="20"/>
          <w:szCs w:val="20"/>
        </w:rPr>
      </w:pPr>
    </w:p>
    <w:p w14:paraId="5E84ADF5" w14:textId="2B30CBC4" w:rsidR="008D4630" w:rsidRPr="004B552B" w:rsidRDefault="00183903" w:rsidP="00B93F1F">
      <w:pPr>
        <w:spacing w:line="360" w:lineRule="auto"/>
        <w:jc w:val="both"/>
        <w:rPr>
          <w:rFonts w:ascii="Arial" w:hAnsi="Arial" w:cs="Arial"/>
          <w:b/>
        </w:rPr>
      </w:pPr>
      <w:r w:rsidRPr="004B552B">
        <w:rPr>
          <w:rFonts w:ascii="Arial" w:hAnsi="Arial" w:cs="Arial"/>
          <w:b/>
        </w:rPr>
        <w:t xml:space="preserve">E. Áreas </w:t>
      </w:r>
      <w:r w:rsidR="00FA4D20" w:rsidRPr="004B552B">
        <w:rPr>
          <w:rFonts w:ascii="Arial" w:hAnsi="Arial" w:cs="Arial"/>
          <w:b/>
        </w:rPr>
        <w:t>R</w:t>
      </w:r>
      <w:r w:rsidR="00E43850" w:rsidRPr="004B552B">
        <w:rPr>
          <w:rFonts w:ascii="Arial" w:hAnsi="Arial" w:cs="Arial"/>
          <w:b/>
        </w:rPr>
        <w:t>evisadas</w:t>
      </w:r>
    </w:p>
    <w:p w14:paraId="2312710A" w14:textId="77777777" w:rsidR="008D4630" w:rsidRPr="008E5118" w:rsidRDefault="008D4630" w:rsidP="00B93F1F">
      <w:pPr>
        <w:spacing w:line="360" w:lineRule="auto"/>
        <w:jc w:val="both"/>
        <w:rPr>
          <w:rFonts w:ascii="Arial" w:hAnsi="Arial" w:cs="Arial"/>
          <w:b/>
          <w:sz w:val="20"/>
          <w:szCs w:val="20"/>
        </w:rPr>
      </w:pPr>
    </w:p>
    <w:p w14:paraId="4D0A66CB" w14:textId="06845036" w:rsidR="00116C2D" w:rsidRDefault="00A05351" w:rsidP="00FB736A">
      <w:pPr>
        <w:spacing w:line="360" w:lineRule="auto"/>
        <w:ind w:right="190"/>
        <w:jc w:val="both"/>
        <w:rPr>
          <w:rFonts w:ascii="Arial" w:hAnsi="Arial" w:cs="Arial"/>
        </w:rPr>
      </w:pPr>
      <w:r w:rsidRPr="004B552B">
        <w:rPr>
          <w:rFonts w:ascii="Arial" w:hAnsi="Arial" w:cs="Arial"/>
        </w:rPr>
        <w:t xml:space="preserve">El </w:t>
      </w:r>
      <w:r w:rsidR="00245CBD" w:rsidRPr="004B552B">
        <w:rPr>
          <w:rFonts w:ascii="Arial" w:hAnsi="Arial" w:cs="Arial"/>
          <w:bCs/>
        </w:rPr>
        <w:t>Fondo Mixto CONACYT-</w:t>
      </w:r>
      <w:r w:rsidRPr="004B552B">
        <w:rPr>
          <w:rFonts w:ascii="Arial" w:hAnsi="Arial" w:cs="Arial"/>
          <w:bCs/>
        </w:rPr>
        <w:t>Gobierno del Estado de Quintana Roo</w:t>
      </w:r>
      <w:r w:rsidRPr="004B552B">
        <w:rPr>
          <w:rFonts w:ascii="Arial" w:hAnsi="Arial" w:cs="Arial"/>
        </w:rPr>
        <w:t xml:space="preserve"> no cu</w:t>
      </w:r>
      <w:r w:rsidR="00245CBD" w:rsidRPr="004B552B">
        <w:rPr>
          <w:rFonts w:ascii="Arial" w:hAnsi="Arial" w:cs="Arial"/>
        </w:rPr>
        <w:t xml:space="preserve">enta con áreas administrativas, </w:t>
      </w:r>
      <w:r w:rsidR="009872EC" w:rsidRPr="004B552B">
        <w:rPr>
          <w:rFonts w:ascii="Arial" w:hAnsi="Arial" w:cs="Arial"/>
        </w:rPr>
        <w:t xml:space="preserve">ya que no </w:t>
      </w:r>
      <w:r w:rsidR="00772B7D" w:rsidRPr="004B552B">
        <w:rPr>
          <w:rFonts w:ascii="Arial" w:hAnsi="Arial" w:cs="Arial"/>
        </w:rPr>
        <w:t>tiene</w:t>
      </w:r>
      <w:r w:rsidR="009872EC" w:rsidRPr="004B552B">
        <w:rPr>
          <w:rFonts w:ascii="Arial" w:hAnsi="Arial" w:cs="Arial"/>
        </w:rPr>
        <w:t xml:space="preserve"> estructura orgánica, </w:t>
      </w:r>
      <w:r w:rsidR="00245CBD" w:rsidRPr="004B552B">
        <w:rPr>
          <w:rFonts w:ascii="Arial" w:hAnsi="Arial" w:cs="Arial"/>
        </w:rPr>
        <w:t>sin embargo,</w:t>
      </w:r>
      <w:r w:rsidR="00432FC5" w:rsidRPr="004B552B">
        <w:rPr>
          <w:rFonts w:ascii="Arial" w:hAnsi="Arial" w:cs="Arial"/>
        </w:rPr>
        <w:t xml:space="preserve"> </w:t>
      </w:r>
      <w:r w:rsidR="003A040D" w:rsidRPr="004B552B">
        <w:rPr>
          <w:rFonts w:ascii="Arial" w:hAnsi="Arial" w:cs="Arial"/>
        </w:rPr>
        <w:t xml:space="preserve">se revisó </w:t>
      </w:r>
      <w:r w:rsidR="00E77841" w:rsidRPr="004B552B">
        <w:rPr>
          <w:rFonts w:ascii="Arial" w:hAnsi="Arial" w:cs="Arial"/>
        </w:rPr>
        <w:t>la Dirección de Innovación y Vinculación con el Sector P</w:t>
      </w:r>
      <w:r w:rsidR="003A040D" w:rsidRPr="004B552B">
        <w:rPr>
          <w:rFonts w:ascii="Arial" w:hAnsi="Arial" w:cs="Arial"/>
        </w:rPr>
        <w:t>roductivo del Consejo Quintanarroense de Ciencia y Tecnología.</w:t>
      </w:r>
    </w:p>
    <w:p w14:paraId="7F389AF0" w14:textId="38A51A6F" w:rsidR="00216636" w:rsidRPr="008E5118" w:rsidRDefault="00216636" w:rsidP="00FB736A">
      <w:pPr>
        <w:spacing w:line="360" w:lineRule="auto"/>
        <w:ind w:right="190"/>
        <w:jc w:val="both"/>
        <w:rPr>
          <w:rFonts w:ascii="Arial" w:hAnsi="Arial" w:cs="Arial"/>
          <w:sz w:val="20"/>
          <w:szCs w:val="20"/>
        </w:rPr>
      </w:pPr>
    </w:p>
    <w:p w14:paraId="4A4BBFFD" w14:textId="79937B32" w:rsidR="00E66F94" w:rsidRPr="004B552B" w:rsidRDefault="008610C0" w:rsidP="00E66F94">
      <w:pPr>
        <w:spacing w:line="360" w:lineRule="auto"/>
        <w:jc w:val="both"/>
        <w:rPr>
          <w:rFonts w:ascii="Arial" w:hAnsi="Arial" w:cs="Arial"/>
          <w:b/>
        </w:rPr>
      </w:pPr>
      <w:r w:rsidRPr="004B552B">
        <w:rPr>
          <w:rFonts w:ascii="Arial" w:hAnsi="Arial" w:cs="Arial"/>
          <w:b/>
        </w:rPr>
        <w:t>F. Procedim</w:t>
      </w:r>
      <w:r w:rsidR="00F40C02" w:rsidRPr="004B552B">
        <w:rPr>
          <w:rFonts w:ascii="Arial" w:hAnsi="Arial" w:cs="Arial"/>
          <w:b/>
        </w:rPr>
        <w:t xml:space="preserve">ientos de </w:t>
      </w:r>
      <w:r w:rsidR="00FA4D20" w:rsidRPr="004B552B">
        <w:rPr>
          <w:rFonts w:ascii="Arial" w:hAnsi="Arial" w:cs="Arial"/>
          <w:b/>
        </w:rPr>
        <w:t>A</w:t>
      </w:r>
      <w:r w:rsidR="00E43850" w:rsidRPr="004B552B">
        <w:rPr>
          <w:rFonts w:ascii="Arial" w:hAnsi="Arial" w:cs="Arial"/>
          <w:b/>
        </w:rPr>
        <w:t>uditorí</w:t>
      </w:r>
      <w:r w:rsidR="00FA4D20" w:rsidRPr="004B552B">
        <w:rPr>
          <w:rFonts w:ascii="Arial" w:hAnsi="Arial" w:cs="Arial"/>
          <w:b/>
        </w:rPr>
        <w:t>a A</w:t>
      </w:r>
      <w:r w:rsidR="00E43850" w:rsidRPr="004B552B">
        <w:rPr>
          <w:rFonts w:ascii="Arial" w:hAnsi="Arial" w:cs="Arial"/>
          <w:b/>
        </w:rPr>
        <w:t>plicados</w:t>
      </w:r>
    </w:p>
    <w:p w14:paraId="5711377A" w14:textId="77777777" w:rsidR="00E66F94" w:rsidRPr="008E5118" w:rsidRDefault="00E66F94" w:rsidP="00E66F94">
      <w:pPr>
        <w:spacing w:line="360" w:lineRule="auto"/>
        <w:jc w:val="both"/>
        <w:rPr>
          <w:rFonts w:ascii="Arial" w:hAnsi="Arial" w:cs="Arial"/>
          <w:b/>
          <w:sz w:val="20"/>
          <w:szCs w:val="20"/>
        </w:rPr>
      </w:pPr>
    </w:p>
    <w:p w14:paraId="300ED9BF" w14:textId="3E99D2CD" w:rsidR="00E66F94" w:rsidRDefault="00E66F94" w:rsidP="0017430A">
      <w:pPr>
        <w:spacing w:line="360" w:lineRule="auto"/>
        <w:ind w:right="190"/>
        <w:jc w:val="both"/>
        <w:rPr>
          <w:rFonts w:ascii="Arial" w:hAnsi="Arial" w:cs="Arial"/>
        </w:rPr>
      </w:pPr>
      <w:r w:rsidRPr="004B552B">
        <w:rPr>
          <w:rFonts w:ascii="Arial" w:hAnsi="Arial" w:cs="Arial"/>
        </w:rPr>
        <w:t>Los procedimientos de auditoría fueron diseñados para que</w:t>
      </w:r>
      <w:r w:rsidR="00493994" w:rsidRPr="004B552B">
        <w:rPr>
          <w:rFonts w:ascii="Arial" w:hAnsi="Arial" w:cs="Arial"/>
        </w:rPr>
        <w:t xml:space="preserve"> de su aplicación </w:t>
      </w:r>
      <w:r w:rsidRPr="004B552B">
        <w:rPr>
          <w:rFonts w:ascii="Arial" w:hAnsi="Arial" w:cs="Arial"/>
        </w:rPr>
        <w:t>proporcionaran evidencia de auditoría suficiente, competente, pertinente y relevante</w:t>
      </w:r>
      <w:r w:rsidR="00493994" w:rsidRPr="004B552B">
        <w:rPr>
          <w:rFonts w:ascii="Arial" w:hAnsi="Arial" w:cs="Arial"/>
        </w:rPr>
        <w:t>,</w:t>
      </w:r>
      <w:r w:rsidRPr="004B552B">
        <w:rPr>
          <w:rFonts w:ascii="Arial" w:hAnsi="Arial" w:cs="Arial"/>
        </w:rPr>
        <w:t xml:space="preserve"> para emitir conclusiones sobre las cuales basar </w:t>
      </w:r>
      <w:r w:rsidR="00493994" w:rsidRPr="004B552B">
        <w:rPr>
          <w:rFonts w:ascii="Arial" w:hAnsi="Arial" w:cs="Arial"/>
        </w:rPr>
        <w:t>el</w:t>
      </w:r>
      <w:r w:rsidRPr="004B552B">
        <w:rPr>
          <w:rFonts w:ascii="Arial" w:hAnsi="Arial" w:cs="Arial"/>
        </w:rPr>
        <w:t xml:space="preserve"> dictamen y sustentar el informe individual de auditoría. La suficiencia </w:t>
      </w:r>
      <w:r w:rsidR="007D13C9" w:rsidRPr="004B552B">
        <w:rPr>
          <w:rFonts w:ascii="Arial" w:hAnsi="Arial" w:cs="Arial"/>
        </w:rPr>
        <w:t>correspondió a</w:t>
      </w:r>
      <w:r w:rsidRPr="004B552B">
        <w:rPr>
          <w:rFonts w:ascii="Arial" w:hAnsi="Arial" w:cs="Arial"/>
        </w:rPr>
        <w:t xml:space="preserve"> una medida de la cantidad de evidencia, </w:t>
      </w:r>
      <w:r w:rsidR="007D13C9" w:rsidRPr="004B552B">
        <w:rPr>
          <w:rFonts w:ascii="Arial" w:hAnsi="Arial" w:cs="Arial"/>
        </w:rPr>
        <w:t>toda vez que fue</w:t>
      </w:r>
      <w:r w:rsidRPr="004B552B">
        <w:rPr>
          <w:rFonts w:ascii="Arial" w:hAnsi="Arial" w:cs="Arial"/>
        </w:rPr>
        <w:t xml:space="preserve"> la necesaria para sustentar y soportar los resultados, observaciones, conclusiones, recomendaciones y juicios significativos</w:t>
      </w:r>
      <w:r w:rsidR="007D13C9" w:rsidRPr="004B552B">
        <w:rPr>
          <w:rFonts w:ascii="Arial" w:hAnsi="Arial" w:cs="Arial"/>
        </w:rPr>
        <w:t>;</w:t>
      </w:r>
      <w:r w:rsidRPr="004B552B">
        <w:rPr>
          <w:rFonts w:ascii="Arial" w:hAnsi="Arial" w:cs="Arial"/>
        </w:rPr>
        <w:t xml:space="preserve"> la competencia correspond</w:t>
      </w:r>
      <w:r w:rsidR="007D13C9" w:rsidRPr="004B552B">
        <w:rPr>
          <w:rFonts w:ascii="Arial" w:hAnsi="Arial" w:cs="Arial"/>
        </w:rPr>
        <w:t>ió</w:t>
      </w:r>
      <w:r w:rsidRPr="004B552B">
        <w:rPr>
          <w:rFonts w:ascii="Arial" w:hAnsi="Arial" w:cs="Arial"/>
        </w:rPr>
        <w:t xml:space="preserve"> a los hallazgos de la revisión</w:t>
      </w:r>
      <w:r w:rsidR="007D13C9" w:rsidRPr="004B552B">
        <w:rPr>
          <w:rFonts w:ascii="Arial" w:hAnsi="Arial" w:cs="Arial"/>
        </w:rPr>
        <w:t>,</w:t>
      </w:r>
      <w:r w:rsidRPr="004B552B">
        <w:rPr>
          <w:rFonts w:ascii="Arial" w:hAnsi="Arial" w:cs="Arial"/>
        </w:rPr>
        <w:t xml:space="preserve"> </w:t>
      </w:r>
      <w:r w:rsidR="007D13C9" w:rsidRPr="004B552B">
        <w:rPr>
          <w:rFonts w:ascii="Arial" w:hAnsi="Arial" w:cs="Arial"/>
        </w:rPr>
        <w:t>su</w:t>
      </w:r>
      <w:r w:rsidRPr="004B552B">
        <w:rPr>
          <w:rFonts w:ascii="Arial" w:hAnsi="Arial" w:cs="Arial"/>
        </w:rPr>
        <w:t xml:space="preserve"> validez y confiabilidad para apoyar los resultados, recomendaciones, acciones promovidas y dictamen; la pertinencia se </w:t>
      </w:r>
      <w:r w:rsidR="007D13C9" w:rsidRPr="004B552B">
        <w:rPr>
          <w:rFonts w:ascii="Arial" w:hAnsi="Arial" w:cs="Arial"/>
        </w:rPr>
        <w:t>relacionó</w:t>
      </w:r>
      <w:r w:rsidRPr="004B552B">
        <w:rPr>
          <w:rFonts w:ascii="Arial" w:hAnsi="Arial" w:cs="Arial"/>
        </w:rPr>
        <w:t xml:space="preserve"> con la calidad de la evidencia y al propósito de la auditoría</w:t>
      </w:r>
      <w:r w:rsidR="007D13C9" w:rsidRPr="004B552B">
        <w:rPr>
          <w:rFonts w:ascii="Arial" w:hAnsi="Arial" w:cs="Arial"/>
        </w:rPr>
        <w:t>,</w:t>
      </w:r>
      <w:r w:rsidRPr="004B552B">
        <w:rPr>
          <w:rFonts w:ascii="Arial" w:hAnsi="Arial" w:cs="Arial"/>
        </w:rPr>
        <w:t xml:space="preserve"> y la relevancia se </w:t>
      </w:r>
      <w:r w:rsidR="007D13C9" w:rsidRPr="004B552B">
        <w:rPr>
          <w:rFonts w:ascii="Arial" w:hAnsi="Arial" w:cs="Arial"/>
        </w:rPr>
        <w:t>vinculó</w:t>
      </w:r>
      <w:r w:rsidRPr="004B552B">
        <w:rPr>
          <w:rFonts w:ascii="Arial" w:hAnsi="Arial" w:cs="Arial"/>
        </w:rPr>
        <w:t xml:space="preserve"> con la importancia, coherencia y relación lógica que </w:t>
      </w:r>
      <w:r w:rsidR="007D13C9" w:rsidRPr="004B552B">
        <w:rPr>
          <w:rFonts w:ascii="Arial" w:hAnsi="Arial" w:cs="Arial"/>
        </w:rPr>
        <w:t>se debía</w:t>
      </w:r>
      <w:r w:rsidRPr="004B552B">
        <w:rPr>
          <w:rFonts w:ascii="Arial" w:hAnsi="Arial" w:cs="Arial"/>
        </w:rPr>
        <w:t xml:space="preserve"> tener con los hallazgos determinados en la auditoría para sustentar el dictamen. La cantidad de evidencia requerida </w:t>
      </w:r>
      <w:r w:rsidR="007D13C9" w:rsidRPr="004B552B">
        <w:rPr>
          <w:rFonts w:ascii="Arial" w:hAnsi="Arial" w:cs="Arial"/>
        </w:rPr>
        <w:t>dependió</w:t>
      </w:r>
      <w:r w:rsidRPr="004B552B">
        <w:rPr>
          <w:rFonts w:ascii="Arial" w:hAnsi="Arial" w:cs="Arial"/>
        </w:rPr>
        <w:t xml:space="preserve"> del riesgo de auditoría</w:t>
      </w:r>
      <w:r w:rsidR="007D13C9" w:rsidRPr="004B552B">
        <w:rPr>
          <w:rFonts w:ascii="Arial" w:hAnsi="Arial" w:cs="Arial"/>
        </w:rPr>
        <w:t>, debido a que entre</w:t>
      </w:r>
      <w:r w:rsidRPr="004B552B">
        <w:rPr>
          <w:rFonts w:ascii="Arial" w:hAnsi="Arial" w:cs="Arial"/>
        </w:rPr>
        <w:t xml:space="preserve"> más grande </w:t>
      </w:r>
      <w:r w:rsidR="007D13C9" w:rsidRPr="004B552B">
        <w:rPr>
          <w:rFonts w:ascii="Arial" w:hAnsi="Arial" w:cs="Arial"/>
        </w:rPr>
        <w:t>era</w:t>
      </w:r>
      <w:r w:rsidRPr="004B552B">
        <w:rPr>
          <w:rFonts w:ascii="Arial" w:hAnsi="Arial" w:cs="Arial"/>
        </w:rPr>
        <w:t xml:space="preserve"> el riesgo, mayor </w:t>
      </w:r>
      <w:r w:rsidR="007D13C9" w:rsidRPr="004B552B">
        <w:rPr>
          <w:rFonts w:ascii="Arial" w:hAnsi="Arial" w:cs="Arial"/>
        </w:rPr>
        <w:t>era</w:t>
      </w:r>
      <w:r w:rsidRPr="004B552B">
        <w:rPr>
          <w:rFonts w:ascii="Arial" w:hAnsi="Arial" w:cs="Arial"/>
        </w:rPr>
        <w:t xml:space="preserve"> la probabilidad de requerir más evidencia.</w:t>
      </w:r>
    </w:p>
    <w:p w14:paraId="2E38D87E" w14:textId="77777777" w:rsidR="0041150F" w:rsidRPr="008E5118" w:rsidRDefault="0041150F" w:rsidP="0017430A">
      <w:pPr>
        <w:spacing w:line="360" w:lineRule="auto"/>
        <w:ind w:right="190"/>
        <w:jc w:val="both"/>
        <w:rPr>
          <w:rFonts w:ascii="Arial" w:hAnsi="Arial" w:cs="Arial"/>
          <w:sz w:val="18"/>
          <w:szCs w:val="18"/>
        </w:rPr>
      </w:pPr>
    </w:p>
    <w:p w14:paraId="44C45425" w14:textId="77777777" w:rsidR="00E66F94" w:rsidRPr="004B552B" w:rsidRDefault="00E66F94" w:rsidP="00FC2B31">
      <w:pPr>
        <w:spacing w:line="360" w:lineRule="auto"/>
        <w:ind w:right="190"/>
        <w:jc w:val="both"/>
        <w:rPr>
          <w:rFonts w:ascii="Arial" w:hAnsi="Arial" w:cs="Arial"/>
        </w:rPr>
      </w:pPr>
      <w:r w:rsidRPr="004B552B">
        <w:rPr>
          <w:rFonts w:ascii="Arial" w:hAnsi="Arial" w:cs="Arial"/>
        </w:rPr>
        <w:t xml:space="preserve">La naturaleza, tiempos y alcance de los procedimientos de auditoría se basaron y </w:t>
      </w:r>
      <w:r w:rsidR="007D13C9" w:rsidRPr="004B552B">
        <w:rPr>
          <w:rFonts w:ascii="Arial" w:hAnsi="Arial" w:cs="Arial"/>
        </w:rPr>
        <w:t>respondieron</w:t>
      </w:r>
      <w:r w:rsidRPr="004B552B">
        <w:rPr>
          <w:rFonts w:ascii="Arial" w:hAnsi="Arial" w:cs="Arial"/>
        </w:rPr>
        <w:t xml:space="preserve"> a los riesgos evaluados con importancia relat</w:t>
      </w:r>
      <w:r w:rsidR="0042253D" w:rsidRPr="004B552B">
        <w:rPr>
          <w:rFonts w:ascii="Arial" w:hAnsi="Arial" w:cs="Arial"/>
        </w:rPr>
        <w:t>iva, y al ser diseñados</w:t>
      </w:r>
      <w:r w:rsidRPr="004B552B">
        <w:rPr>
          <w:rFonts w:ascii="Arial" w:hAnsi="Arial" w:cs="Arial"/>
        </w:rPr>
        <w:t>, se consideraron las razones de dichos riesgos para cada tipo de transacciones, saldo</w:t>
      </w:r>
      <w:r w:rsidR="0042253D" w:rsidRPr="004B552B">
        <w:rPr>
          <w:rFonts w:ascii="Arial" w:hAnsi="Arial" w:cs="Arial"/>
        </w:rPr>
        <w:t>s</w:t>
      </w:r>
      <w:r w:rsidRPr="004B552B">
        <w:rPr>
          <w:rFonts w:ascii="Arial" w:hAnsi="Arial" w:cs="Arial"/>
        </w:rPr>
        <w:t xml:space="preserve"> de cuenta</w:t>
      </w:r>
      <w:r w:rsidR="0042253D" w:rsidRPr="004B552B">
        <w:rPr>
          <w:rFonts w:ascii="Arial" w:hAnsi="Arial" w:cs="Arial"/>
        </w:rPr>
        <w:t>s</w:t>
      </w:r>
      <w:r w:rsidRPr="004B552B">
        <w:rPr>
          <w:rFonts w:ascii="Arial" w:hAnsi="Arial" w:cs="Arial"/>
        </w:rPr>
        <w:t xml:space="preserve"> y divulgación de datos. Tales razones </w:t>
      </w:r>
      <w:r w:rsidR="0042253D" w:rsidRPr="004B552B">
        <w:rPr>
          <w:rFonts w:ascii="Arial" w:hAnsi="Arial" w:cs="Arial"/>
        </w:rPr>
        <w:t>incluyeron</w:t>
      </w:r>
      <w:r w:rsidRPr="004B552B">
        <w:rPr>
          <w:rFonts w:ascii="Arial" w:hAnsi="Arial" w:cs="Arial"/>
        </w:rPr>
        <w:t xml:space="preserve"> el riesgo inherente a las transacciones y </w:t>
      </w:r>
      <w:r w:rsidR="0042253D" w:rsidRPr="004B552B">
        <w:rPr>
          <w:rFonts w:ascii="Arial" w:hAnsi="Arial" w:cs="Arial"/>
        </w:rPr>
        <w:t>al</w:t>
      </w:r>
      <w:r w:rsidRPr="004B552B">
        <w:rPr>
          <w:rFonts w:ascii="Arial" w:hAnsi="Arial" w:cs="Arial"/>
        </w:rPr>
        <w:t xml:space="preserve"> control. </w:t>
      </w:r>
    </w:p>
    <w:p w14:paraId="3ADCEE87" w14:textId="77777777" w:rsidR="00E66F94" w:rsidRPr="008E5118" w:rsidRDefault="00E66F94" w:rsidP="0017430A">
      <w:pPr>
        <w:spacing w:line="360" w:lineRule="auto"/>
        <w:ind w:right="190"/>
        <w:jc w:val="both"/>
        <w:rPr>
          <w:rFonts w:ascii="Arial" w:hAnsi="Arial" w:cs="Arial"/>
          <w:sz w:val="18"/>
          <w:szCs w:val="18"/>
        </w:rPr>
      </w:pPr>
    </w:p>
    <w:p w14:paraId="417AD2C0" w14:textId="778D3AA4" w:rsidR="00E66F94" w:rsidRPr="004B552B" w:rsidRDefault="00E66F94" w:rsidP="00CA248E">
      <w:pPr>
        <w:spacing w:line="360" w:lineRule="auto"/>
        <w:ind w:right="190"/>
        <w:jc w:val="both"/>
        <w:rPr>
          <w:rFonts w:ascii="Arial" w:hAnsi="Arial" w:cs="Arial"/>
        </w:rPr>
      </w:pPr>
      <w:r w:rsidRPr="004B552B">
        <w:rPr>
          <w:rFonts w:ascii="Arial" w:hAnsi="Arial" w:cs="Arial"/>
        </w:rPr>
        <w:t>Las técnicas para obtener la evidencia de auditoría incluyeron el estudio general, inspección, observación</w:t>
      </w:r>
      <w:r w:rsidR="00A26BAE" w:rsidRPr="004B552B">
        <w:rPr>
          <w:rFonts w:ascii="Arial" w:hAnsi="Arial" w:cs="Arial"/>
        </w:rPr>
        <w:t xml:space="preserve">, indagación, confirmación, </w:t>
      </w:r>
      <w:proofErr w:type="spellStart"/>
      <w:r w:rsidR="00E51080" w:rsidRPr="004B552B">
        <w:rPr>
          <w:rFonts w:ascii="Arial" w:hAnsi="Arial" w:cs="Arial"/>
        </w:rPr>
        <w:t>recálculo</w:t>
      </w:r>
      <w:proofErr w:type="spellEnd"/>
      <w:r w:rsidRPr="004B552B">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BD6DC83" w14:textId="77777777" w:rsidR="008E5118" w:rsidRPr="008E5118" w:rsidRDefault="008E5118" w:rsidP="00FC2B31">
      <w:pPr>
        <w:spacing w:line="360" w:lineRule="auto"/>
        <w:ind w:right="190"/>
        <w:jc w:val="both"/>
        <w:rPr>
          <w:rFonts w:ascii="Arial" w:hAnsi="Arial" w:cs="Arial"/>
          <w:sz w:val="18"/>
          <w:szCs w:val="18"/>
        </w:rPr>
      </w:pPr>
    </w:p>
    <w:p w14:paraId="1FF3F834" w14:textId="4E78D02B" w:rsidR="00E66F94" w:rsidRPr="004B552B" w:rsidRDefault="00456EF2" w:rsidP="00FC2B31">
      <w:pPr>
        <w:spacing w:line="360" w:lineRule="auto"/>
        <w:ind w:right="190"/>
        <w:jc w:val="both"/>
        <w:rPr>
          <w:rFonts w:ascii="Arial" w:hAnsi="Arial" w:cs="Arial"/>
        </w:rPr>
      </w:pPr>
      <w:r w:rsidRPr="004B552B">
        <w:rPr>
          <w:rFonts w:ascii="Arial" w:hAnsi="Arial" w:cs="Arial"/>
        </w:rPr>
        <w:t>Los procedimientos de auditorí</w:t>
      </w:r>
      <w:r w:rsidR="00E66F94" w:rsidRPr="004B552B">
        <w:rPr>
          <w:rFonts w:ascii="Arial" w:hAnsi="Arial" w:cs="Arial"/>
        </w:rPr>
        <w:t>a aplicados para obtener evidencia de auditoría suficiente, competente, pertinente y relevante</w:t>
      </w:r>
      <w:r w:rsidR="00315DC2" w:rsidRPr="004B552B">
        <w:rPr>
          <w:rFonts w:ascii="Arial" w:hAnsi="Arial" w:cs="Arial"/>
        </w:rPr>
        <w:t>,</w:t>
      </w:r>
      <w:r w:rsidR="00E66F94" w:rsidRPr="004B552B">
        <w:rPr>
          <w:rFonts w:ascii="Arial" w:hAnsi="Arial" w:cs="Arial"/>
        </w:rPr>
        <w:t xml:space="preserve"> </w:t>
      </w:r>
      <w:r w:rsidR="00315DC2" w:rsidRPr="004B552B">
        <w:rPr>
          <w:rFonts w:ascii="Arial" w:hAnsi="Arial" w:cs="Arial"/>
        </w:rPr>
        <w:t>correspondieron a</w:t>
      </w:r>
      <w:r w:rsidR="00E66F94" w:rsidRPr="004B552B">
        <w:rPr>
          <w:rFonts w:ascii="Arial" w:hAnsi="Arial" w:cs="Arial"/>
        </w:rPr>
        <w:t>:</w:t>
      </w:r>
    </w:p>
    <w:p w14:paraId="3CD8FDE1" w14:textId="0A53519D" w:rsidR="00847C9C" w:rsidRPr="008E5118" w:rsidRDefault="00847C9C" w:rsidP="0017430A">
      <w:pPr>
        <w:spacing w:line="360" w:lineRule="auto"/>
        <w:ind w:right="190"/>
        <w:jc w:val="both"/>
        <w:rPr>
          <w:rFonts w:ascii="Arial" w:hAnsi="Arial" w:cs="Arial"/>
          <w:sz w:val="20"/>
          <w:szCs w:val="20"/>
        </w:rPr>
      </w:pPr>
    </w:p>
    <w:p w14:paraId="22B81A8D" w14:textId="72F12ECF" w:rsidR="00847C9C" w:rsidRPr="004B552B" w:rsidRDefault="00847C9C" w:rsidP="00300801">
      <w:pPr>
        <w:pStyle w:val="Prrafodelista"/>
        <w:numPr>
          <w:ilvl w:val="0"/>
          <w:numId w:val="24"/>
        </w:numPr>
        <w:spacing w:line="360" w:lineRule="auto"/>
        <w:ind w:left="360" w:right="190"/>
        <w:jc w:val="both"/>
        <w:rPr>
          <w:rFonts w:ascii="Arial" w:hAnsi="Arial" w:cs="Arial"/>
        </w:rPr>
      </w:pPr>
      <w:r w:rsidRPr="004B552B">
        <w:rPr>
          <w:rFonts w:ascii="Arial" w:hAnsi="Arial" w:cs="Arial"/>
        </w:rPr>
        <w:t>Verificar que las cuentas bancarias</w:t>
      </w:r>
      <w:r w:rsidR="00412EDF" w:rsidRPr="004B552B">
        <w:rPr>
          <w:rFonts w:ascii="Arial" w:hAnsi="Arial" w:cs="Arial"/>
        </w:rPr>
        <w:t xml:space="preserve"> del Fondo Mixto,</w:t>
      </w:r>
      <w:r w:rsidRPr="004B552B">
        <w:rPr>
          <w:rFonts w:ascii="Arial" w:hAnsi="Arial" w:cs="Arial"/>
        </w:rPr>
        <w:t xml:space="preserve"> </w:t>
      </w:r>
      <w:r w:rsidR="00934BB7" w:rsidRPr="004B552B">
        <w:rPr>
          <w:rFonts w:ascii="Arial" w:hAnsi="Arial" w:cs="Arial"/>
        </w:rPr>
        <w:t xml:space="preserve">hayan sido canceladas y </w:t>
      </w:r>
      <w:r w:rsidR="00953D26">
        <w:rPr>
          <w:rFonts w:ascii="Arial" w:hAnsi="Arial" w:cs="Arial"/>
        </w:rPr>
        <w:t>se encuentre</w:t>
      </w:r>
      <w:r w:rsidRPr="004B552B">
        <w:rPr>
          <w:rFonts w:ascii="Arial" w:hAnsi="Arial" w:cs="Arial"/>
        </w:rPr>
        <w:t xml:space="preserve">n </w:t>
      </w:r>
      <w:r w:rsidR="00412EDF" w:rsidRPr="004B552B">
        <w:rPr>
          <w:rFonts w:ascii="Arial" w:hAnsi="Arial" w:cs="Arial"/>
        </w:rPr>
        <w:t xml:space="preserve">sus saldos </w:t>
      </w:r>
      <w:r w:rsidR="00934BB7" w:rsidRPr="004B552B">
        <w:rPr>
          <w:rFonts w:ascii="Arial" w:hAnsi="Arial" w:cs="Arial"/>
        </w:rPr>
        <w:t>en ceros</w:t>
      </w:r>
      <w:r w:rsidRPr="004B552B">
        <w:rPr>
          <w:rFonts w:ascii="Arial" w:hAnsi="Arial" w:cs="Arial"/>
        </w:rPr>
        <w:t>.</w:t>
      </w:r>
    </w:p>
    <w:p w14:paraId="1F997D4A" w14:textId="696CBD9D" w:rsidR="00300801" w:rsidRPr="008E5118" w:rsidRDefault="00300801" w:rsidP="00934BB7">
      <w:pPr>
        <w:rPr>
          <w:rFonts w:ascii="Arial" w:hAnsi="Arial" w:cs="Arial"/>
          <w:sz w:val="20"/>
          <w:szCs w:val="20"/>
        </w:rPr>
      </w:pPr>
    </w:p>
    <w:p w14:paraId="54431DBD" w14:textId="6C253471" w:rsidR="00300801" w:rsidRPr="004B552B" w:rsidRDefault="00412EDF" w:rsidP="00AB594B">
      <w:pPr>
        <w:pStyle w:val="Prrafodelista"/>
        <w:numPr>
          <w:ilvl w:val="0"/>
          <w:numId w:val="24"/>
        </w:numPr>
        <w:tabs>
          <w:tab w:val="left" w:pos="9498"/>
        </w:tabs>
        <w:spacing w:line="360" w:lineRule="auto"/>
        <w:ind w:left="360" w:right="190"/>
        <w:jc w:val="both"/>
        <w:rPr>
          <w:rFonts w:ascii="Arial" w:hAnsi="Arial" w:cs="Arial"/>
        </w:rPr>
      </w:pPr>
      <w:r w:rsidRPr="004B552B">
        <w:rPr>
          <w:rFonts w:ascii="Arial" w:hAnsi="Arial" w:cs="Arial"/>
        </w:rPr>
        <w:t xml:space="preserve">Analizar el Contrato de Cesión de Derechos y Obligaciones a Título Gratuito, y el Convenio de Extinción total al Contrato de Fideicomiso denominado </w:t>
      </w:r>
      <w:r w:rsidRPr="004B552B">
        <w:rPr>
          <w:rFonts w:ascii="Arial" w:hAnsi="Arial" w:cs="Arial"/>
          <w:b/>
        </w:rPr>
        <w:t>“Fondo Mixto CONACYT-Gobierno del Estado de Quintana Roo”</w:t>
      </w:r>
      <w:r w:rsidRPr="004B552B">
        <w:rPr>
          <w:rFonts w:ascii="Arial" w:hAnsi="Arial" w:cs="Arial"/>
        </w:rPr>
        <w:t xml:space="preserve">, </w:t>
      </w:r>
      <w:r w:rsidRPr="004B552B">
        <w:rPr>
          <w:rFonts w:ascii="Arial" w:hAnsi="Arial" w:cs="Arial"/>
          <w:b/>
        </w:rPr>
        <w:t xml:space="preserve">FON.MIX.16/2022, </w:t>
      </w:r>
      <w:r w:rsidRPr="004B552B">
        <w:rPr>
          <w:rFonts w:ascii="Arial" w:hAnsi="Arial" w:cs="Arial"/>
        </w:rPr>
        <w:t>para verificar el cumplimiento legal.</w:t>
      </w:r>
    </w:p>
    <w:p w14:paraId="4261CA0F" w14:textId="77777777" w:rsidR="00934BB7" w:rsidRPr="008E5118" w:rsidRDefault="00934BB7" w:rsidP="00934BB7">
      <w:pPr>
        <w:pStyle w:val="Prrafodelista"/>
        <w:rPr>
          <w:rFonts w:ascii="Arial" w:hAnsi="Arial" w:cs="Arial"/>
          <w:sz w:val="20"/>
          <w:szCs w:val="20"/>
        </w:rPr>
      </w:pPr>
    </w:p>
    <w:p w14:paraId="6F996582" w14:textId="1D716E55" w:rsidR="00300801" w:rsidRPr="004B552B" w:rsidRDefault="00934BB7" w:rsidP="00A06537">
      <w:pPr>
        <w:pStyle w:val="Prrafodelista"/>
        <w:numPr>
          <w:ilvl w:val="0"/>
          <w:numId w:val="24"/>
        </w:numPr>
        <w:spacing w:line="360" w:lineRule="auto"/>
        <w:ind w:left="360" w:right="190"/>
        <w:jc w:val="both"/>
        <w:rPr>
          <w:rFonts w:ascii="Arial" w:hAnsi="Arial" w:cs="Arial"/>
        </w:rPr>
      </w:pPr>
      <w:r w:rsidRPr="004B552B">
        <w:rPr>
          <w:rFonts w:ascii="Arial" w:hAnsi="Arial" w:cs="Arial"/>
        </w:rPr>
        <w:t>Verificar los Esta</w:t>
      </w:r>
      <w:r w:rsidR="00946FE5">
        <w:rPr>
          <w:rFonts w:ascii="Arial" w:hAnsi="Arial" w:cs="Arial"/>
        </w:rPr>
        <w:t>dos Financieros, soporte de la C</w:t>
      </w:r>
      <w:r w:rsidRPr="004B552B">
        <w:rPr>
          <w:rFonts w:ascii="Arial" w:hAnsi="Arial" w:cs="Arial"/>
        </w:rPr>
        <w:t xml:space="preserve">uenta </w:t>
      </w:r>
      <w:r w:rsidR="00946FE5">
        <w:rPr>
          <w:rFonts w:ascii="Arial" w:hAnsi="Arial" w:cs="Arial"/>
        </w:rPr>
        <w:t>P</w:t>
      </w:r>
      <w:r w:rsidRPr="004B552B">
        <w:rPr>
          <w:rFonts w:ascii="Arial" w:hAnsi="Arial" w:cs="Arial"/>
        </w:rPr>
        <w:t>ública y todo lo concerniente al proceso de extinción.</w:t>
      </w:r>
    </w:p>
    <w:p w14:paraId="7516A548" w14:textId="13A2A981" w:rsidR="005746CF" w:rsidRPr="008E5118" w:rsidRDefault="005746CF" w:rsidP="005746CF">
      <w:pPr>
        <w:spacing w:line="360" w:lineRule="auto"/>
        <w:ind w:right="190"/>
        <w:jc w:val="both"/>
        <w:rPr>
          <w:rFonts w:ascii="Arial" w:hAnsi="Arial" w:cs="Arial"/>
          <w:sz w:val="18"/>
          <w:szCs w:val="18"/>
        </w:rPr>
      </w:pPr>
    </w:p>
    <w:p w14:paraId="300C8A6A" w14:textId="0CD5D1C9" w:rsidR="00EC71A6" w:rsidRPr="004B552B" w:rsidRDefault="007D39FA" w:rsidP="00FC2B31">
      <w:pPr>
        <w:spacing w:line="360" w:lineRule="auto"/>
        <w:ind w:right="190"/>
        <w:jc w:val="both"/>
        <w:rPr>
          <w:rFonts w:ascii="Arial" w:hAnsi="Arial" w:cs="Arial"/>
        </w:rPr>
      </w:pPr>
      <w:r w:rsidRPr="004B552B">
        <w:rPr>
          <w:rFonts w:ascii="Arial" w:hAnsi="Arial" w:cs="Arial"/>
        </w:rPr>
        <w:t>La fiscalización se realizó conforme</w:t>
      </w:r>
      <w:r w:rsidR="00C1736C">
        <w:rPr>
          <w:rFonts w:ascii="Arial" w:hAnsi="Arial" w:cs="Arial"/>
        </w:rPr>
        <w:t xml:space="preserve"> a los principios de legalidad, </w:t>
      </w:r>
      <w:proofErr w:type="spellStart"/>
      <w:r w:rsidRPr="004B552B">
        <w:rPr>
          <w:rFonts w:ascii="Arial" w:hAnsi="Arial" w:cs="Arial"/>
        </w:rPr>
        <w:t>definitividad</w:t>
      </w:r>
      <w:proofErr w:type="spellEnd"/>
      <w:r w:rsidRPr="004B552B">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694DC0D4" w14:textId="77777777" w:rsidR="00E9176B" w:rsidRPr="008E5118" w:rsidRDefault="00E9176B" w:rsidP="00FC2B31">
      <w:pPr>
        <w:spacing w:line="360" w:lineRule="auto"/>
        <w:ind w:right="190"/>
        <w:jc w:val="both"/>
        <w:rPr>
          <w:rFonts w:ascii="Arial" w:hAnsi="Arial" w:cs="Arial"/>
          <w:bCs/>
          <w:sz w:val="18"/>
          <w:szCs w:val="18"/>
        </w:rPr>
      </w:pPr>
    </w:p>
    <w:p w14:paraId="4A1FF583" w14:textId="01A0A501" w:rsidR="00974042" w:rsidRPr="004B552B" w:rsidRDefault="008610C0" w:rsidP="00FC2B31">
      <w:pPr>
        <w:spacing w:line="360" w:lineRule="auto"/>
        <w:ind w:right="190"/>
        <w:jc w:val="both"/>
        <w:rPr>
          <w:rFonts w:ascii="Arial" w:hAnsi="Arial" w:cs="Arial"/>
          <w:b/>
        </w:rPr>
      </w:pPr>
      <w:r w:rsidRPr="004B552B">
        <w:rPr>
          <w:rFonts w:ascii="Arial" w:hAnsi="Arial" w:cs="Arial"/>
          <w:b/>
        </w:rPr>
        <w:t>G</w:t>
      </w:r>
      <w:r w:rsidR="00855650" w:rsidRPr="004B552B">
        <w:rPr>
          <w:rFonts w:ascii="Arial" w:hAnsi="Arial" w:cs="Arial"/>
          <w:b/>
        </w:rPr>
        <w:t xml:space="preserve">. Servidores </w:t>
      </w:r>
      <w:r w:rsidR="00FA4D20" w:rsidRPr="004B552B">
        <w:rPr>
          <w:rFonts w:ascii="Arial" w:hAnsi="Arial" w:cs="Arial"/>
          <w:b/>
        </w:rPr>
        <w:t>P</w:t>
      </w:r>
      <w:r w:rsidR="00E43850" w:rsidRPr="004B552B">
        <w:rPr>
          <w:rFonts w:ascii="Arial" w:hAnsi="Arial" w:cs="Arial"/>
          <w:b/>
        </w:rPr>
        <w:t xml:space="preserve">úblicos </w:t>
      </w:r>
      <w:r w:rsidR="001715FF" w:rsidRPr="004B552B">
        <w:rPr>
          <w:rFonts w:ascii="Arial" w:hAnsi="Arial" w:cs="Arial"/>
          <w:b/>
        </w:rPr>
        <w:t xml:space="preserve">que </w:t>
      </w:r>
      <w:r w:rsidR="00510071" w:rsidRPr="004B552B">
        <w:rPr>
          <w:rFonts w:ascii="Arial" w:hAnsi="Arial" w:cs="Arial"/>
          <w:b/>
        </w:rPr>
        <w:t>I</w:t>
      </w:r>
      <w:r w:rsidR="001715FF" w:rsidRPr="004B552B">
        <w:rPr>
          <w:rFonts w:ascii="Arial" w:hAnsi="Arial" w:cs="Arial"/>
          <w:b/>
        </w:rPr>
        <w:t>ntervinieron en</w:t>
      </w:r>
      <w:r w:rsidR="00E43850" w:rsidRPr="004B552B">
        <w:rPr>
          <w:rFonts w:ascii="Arial" w:hAnsi="Arial" w:cs="Arial"/>
          <w:b/>
        </w:rPr>
        <w:t xml:space="preserve"> la </w:t>
      </w:r>
      <w:r w:rsidR="00FA4D20" w:rsidRPr="004B552B">
        <w:rPr>
          <w:rFonts w:ascii="Arial" w:hAnsi="Arial" w:cs="Arial"/>
          <w:b/>
        </w:rPr>
        <w:t>A</w:t>
      </w:r>
      <w:r w:rsidR="00E43850" w:rsidRPr="004B552B">
        <w:rPr>
          <w:rFonts w:ascii="Arial" w:hAnsi="Arial" w:cs="Arial"/>
          <w:b/>
        </w:rPr>
        <w:t>uditoría</w:t>
      </w:r>
    </w:p>
    <w:p w14:paraId="679F8E29" w14:textId="77777777" w:rsidR="00D1152D" w:rsidRPr="008E5118" w:rsidRDefault="00D1152D" w:rsidP="00FC2B31">
      <w:pPr>
        <w:spacing w:line="360" w:lineRule="auto"/>
        <w:ind w:right="190"/>
        <w:jc w:val="both"/>
        <w:rPr>
          <w:rFonts w:ascii="Arial" w:hAnsi="Arial" w:cs="Arial"/>
          <w:bCs/>
          <w:sz w:val="18"/>
          <w:szCs w:val="18"/>
        </w:rPr>
      </w:pPr>
    </w:p>
    <w:p w14:paraId="7A12EAE4" w14:textId="60EA961D" w:rsidR="009044A0" w:rsidRDefault="00855650" w:rsidP="009044A0">
      <w:pPr>
        <w:spacing w:line="360" w:lineRule="auto"/>
        <w:ind w:right="190"/>
        <w:jc w:val="both"/>
        <w:rPr>
          <w:rFonts w:ascii="Arial" w:hAnsi="Arial" w:cs="Arial"/>
        </w:rPr>
      </w:pPr>
      <w:r w:rsidRPr="004B552B">
        <w:rPr>
          <w:rFonts w:ascii="Arial" w:hAnsi="Arial" w:cs="Arial"/>
        </w:rPr>
        <w:t>El personal designado</w:t>
      </w:r>
      <w:r w:rsidR="00F6281B" w:rsidRPr="004B552B">
        <w:rPr>
          <w:rFonts w:ascii="Arial" w:hAnsi="Arial" w:cs="Arial"/>
        </w:rPr>
        <w:t>,</w:t>
      </w:r>
      <w:r w:rsidRPr="004B552B">
        <w:rPr>
          <w:rFonts w:ascii="Arial" w:hAnsi="Arial" w:cs="Arial"/>
        </w:rPr>
        <w:t xml:space="preserve"> adscrito a la Auditoría Especial en Materia Financiera de esta Auditoría Superior del Estado, que actuó en el desarrollo y ejecución de la auditoría, visita e inspección en forma conjunta o separada, </w:t>
      </w:r>
      <w:r w:rsidR="003B18C4" w:rsidRPr="004B552B">
        <w:rPr>
          <w:rFonts w:ascii="Arial" w:hAnsi="Arial" w:cs="Arial"/>
        </w:rPr>
        <w:t>mismo</w:t>
      </w:r>
      <w:r w:rsidR="00F6281B" w:rsidRPr="004B552B">
        <w:rPr>
          <w:rFonts w:ascii="Arial" w:hAnsi="Arial" w:cs="Arial"/>
        </w:rPr>
        <w:t xml:space="preserve"> que</w:t>
      </w:r>
      <w:r w:rsidRPr="004B552B">
        <w:rPr>
          <w:rFonts w:ascii="Arial" w:hAnsi="Arial" w:cs="Arial"/>
        </w:rPr>
        <w:t xml:space="preserve"> se </w:t>
      </w:r>
      <w:r w:rsidR="003B18C4" w:rsidRPr="004B552B">
        <w:rPr>
          <w:rFonts w:ascii="Arial" w:hAnsi="Arial" w:cs="Arial"/>
        </w:rPr>
        <w:t>acreditó</w:t>
      </w:r>
      <w:r w:rsidRPr="004B552B">
        <w:rPr>
          <w:rFonts w:ascii="Arial" w:hAnsi="Arial" w:cs="Arial"/>
        </w:rPr>
        <w:t xml:space="preserve"> como personal de este Órgano Técnico de Fiscalización, </w:t>
      </w:r>
      <w:r w:rsidR="00A44EBC" w:rsidRPr="004B552B">
        <w:rPr>
          <w:rFonts w:ascii="Arial" w:hAnsi="Arial" w:cs="Arial"/>
        </w:rPr>
        <w:t>se encuentra referido en</w:t>
      </w:r>
      <w:r w:rsidR="00F97FE3" w:rsidRPr="004B552B">
        <w:rPr>
          <w:rFonts w:ascii="Arial" w:hAnsi="Arial" w:cs="Arial"/>
        </w:rPr>
        <w:t xml:space="preserve"> la</w:t>
      </w:r>
      <w:r w:rsidR="0004250B" w:rsidRPr="004B552B">
        <w:rPr>
          <w:rFonts w:ascii="Arial" w:hAnsi="Arial" w:cs="Arial"/>
        </w:rPr>
        <w:t xml:space="preserve"> orden e</w:t>
      </w:r>
      <w:r w:rsidR="00A44EBC" w:rsidRPr="004B552B">
        <w:rPr>
          <w:rFonts w:ascii="Arial" w:hAnsi="Arial" w:cs="Arial"/>
        </w:rPr>
        <w:t xml:space="preserve">mitida </w:t>
      </w:r>
      <w:r w:rsidR="00F97FE3" w:rsidRPr="004B552B">
        <w:rPr>
          <w:rFonts w:ascii="Arial" w:hAnsi="Arial" w:cs="Arial"/>
        </w:rPr>
        <w:t>con oficio número</w:t>
      </w:r>
      <w:r w:rsidR="00B87C78" w:rsidRPr="004B552B">
        <w:rPr>
          <w:rFonts w:ascii="Arial" w:hAnsi="Arial" w:cs="Arial"/>
        </w:rPr>
        <w:t xml:space="preserve"> </w:t>
      </w:r>
      <w:r w:rsidR="00E45660" w:rsidRPr="004B552B">
        <w:rPr>
          <w:rFonts w:ascii="Arial" w:hAnsi="Arial" w:cs="Arial"/>
        </w:rPr>
        <w:t>ASEQROO/ASE/AEMF/0537/05/2023</w:t>
      </w:r>
      <w:r w:rsidR="007D39FA" w:rsidRPr="004B552B">
        <w:rPr>
          <w:rFonts w:ascii="Arial" w:hAnsi="Arial" w:cs="Arial"/>
        </w:rPr>
        <w:t xml:space="preserve">, </w:t>
      </w:r>
      <w:r w:rsidR="00E64E6A" w:rsidRPr="004B552B">
        <w:rPr>
          <w:rFonts w:ascii="Arial" w:hAnsi="Arial" w:cs="Arial"/>
        </w:rPr>
        <w:t xml:space="preserve">siendo </w:t>
      </w:r>
      <w:r w:rsidR="001715FF" w:rsidRPr="004B552B">
        <w:rPr>
          <w:rFonts w:ascii="Arial" w:hAnsi="Arial" w:cs="Arial"/>
        </w:rPr>
        <w:t>los servidores públicos</w:t>
      </w:r>
      <w:r w:rsidR="00E64E6A" w:rsidRPr="004B552B">
        <w:rPr>
          <w:rFonts w:ascii="Arial" w:hAnsi="Arial" w:cs="Arial"/>
        </w:rPr>
        <w:t xml:space="preserve"> a cargo de </w:t>
      </w:r>
      <w:r w:rsidR="009A657F" w:rsidRPr="004B552B">
        <w:rPr>
          <w:rFonts w:ascii="Arial" w:hAnsi="Arial" w:cs="Arial"/>
        </w:rPr>
        <w:t xml:space="preserve">coordinar y supervisar </w:t>
      </w:r>
      <w:r w:rsidR="00E64E6A" w:rsidRPr="004B552B">
        <w:rPr>
          <w:rFonts w:ascii="Arial" w:hAnsi="Arial" w:cs="Arial"/>
        </w:rPr>
        <w:t>la auditoría, los siguientes</w:t>
      </w:r>
      <w:r w:rsidR="00A44EBC" w:rsidRPr="004B552B">
        <w:rPr>
          <w:rFonts w:ascii="Arial" w:hAnsi="Arial" w:cs="Arial"/>
        </w:rPr>
        <w:t>:</w:t>
      </w:r>
    </w:p>
    <w:p w14:paraId="228DCCB3" w14:textId="77777777" w:rsidR="00C81854" w:rsidRPr="00AB594B" w:rsidRDefault="00C81854" w:rsidP="009044A0">
      <w:pPr>
        <w:spacing w:line="360" w:lineRule="auto"/>
        <w:ind w:right="190"/>
        <w:jc w:val="both"/>
        <w:rPr>
          <w:rFonts w:ascii="Arial" w:hAnsi="Arial" w:cs="Arial"/>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4B552B" w14:paraId="34A271CE" w14:textId="77777777" w:rsidTr="002367AD">
        <w:trPr>
          <w:tblHeader/>
          <w:jc w:val="center"/>
        </w:trPr>
        <w:tc>
          <w:tcPr>
            <w:tcW w:w="6374" w:type="dxa"/>
            <w:shd w:val="clear" w:color="auto" w:fill="D0CECE" w:themeFill="background2" w:themeFillShade="E6"/>
          </w:tcPr>
          <w:p w14:paraId="5C4F057D" w14:textId="02757A38" w:rsidR="00855650" w:rsidRPr="004B552B" w:rsidRDefault="00855650" w:rsidP="00B93F1F">
            <w:pPr>
              <w:spacing w:line="360" w:lineRule="auto"/>
              <w:jc w:val="center"/>
              <w:rPr>
                <w:rFonts w:ascii="Arial" w:hAnsi="Arial" w:cs="Arial"/>
                <w:b/>
                <w:bCs/>
              </w:rPr>
            </w:pPr>
            <w:r w:rsidRPr="004B552B">
              <w:rPr>
                <w:rFonts w:ascii="Arial" w:hAnsi="Arial" w:cs="Arial"/>
                <w:b/>
                <w:bCs/>
              </w:rPr>
              <w:t>Nombre</w:t>
            </w:r>
          </w:p>
        </w:tc>
        <w:tc>
          <w:tcPr>
            <w:tcW w:w="2977" w:type="dxa"/>
            <w:shd w:val="clear" w:color="auto" w:fill="D0CECE" w:themeFill="background2" w:themeFillShade="E6"/>
          </w:tcPr>
          <w:p w14:paraId="5E927BC1" w14:textId="77777777" w:rsidR="00855650" w:rsidRPr="004B552B" w:rsidRDefault="00855650" w:rsidP="00B93F1F">
            <w:pPr>
              <w:spacing w:line="360" w:lineRule="auto"/>
              <w:jc w:val="center"/>
              <w:rPr>
                <w:rFonts w:ascii="Arial" w:hAnsi="Arial" w:cs="Arial"/>
                <w:b/>
                <w:bCs/>
              </w:rPr>
            </w:pPr>
            <w:r w:rsidRPr="004B552B">
              <w:rPr>
                <w:rFonts w:ascii="Arial" w:hAnsi="Arial" w:cs="Arial"/>
                <w:b/>
                <w:bCs/>
              </w:rPr>
              <w:t>Cargo</w:t>
            </w:r>
          </w:p>
        </w:tc>
      </w:tr>
      <w:tr w:rsidR="00855650" w:rsidRPr="004B552B" w14:paraId="134EFBDA" w14:textId="77777777" w:rsidTr="002367AD">
        <w:trPr>
          <w:jc w:val="center"/>
        </w:trPr>
        <w:tc>
          <w:tcPr>
            <w:tcW w:w="6374" w:type="dxa"/>
            <w:shd w:val="clear" w:color="auto" w:fill="auto"/>
          </w:tcPr>
          <w:p w14:paraId="56F4CBBE" w14:textId="1B086991" w:rsidR="00855650" w:rsidRPr="004B552B" w:rsidRDefault="00FD4E8F" w:rsidP="007D39FA">
            <w:pPr>
              <w:spacing w:line="360" w:lineRule="auto"/>
              <w:rPr>
                <w:rFonts w:ascii="Arial" w:hAnsi="Arial" w:cs="Arial"/>
                <w:bCs/>
              </w:rPr>
            </w:pPr>
            <w:r w:rsidRPr="004B552B">
              <w:rPr>
                <w:rFonts w:ascii="Arial" w:hAnsi="Arial" w:cs="Arial"/>
                <w:bCs/>
              </w:rPr>
              <w:t>M.A.N. Dianela Erminia Alamilla Lugo</w:t>
            </w:r>
          </w:p>
        </w:tc>
        <w:tc>
          <w:tcPr>
            <w:tcW w:w="2977" w:type="dxa"/>
            <w:shd w:val="clear" w:color="auto" w:fill="auto"/>
          </w:tcPr>
          <w:p w14:paraId="0839250C" w14:textId="2F2FDEC1" w:rsidR="00855650" w:rsidRPr="004B552B" w:rsidRDefault="00855650" w:rsidP="00B93F1F">
            <w:pPr>
              <w:spacing w:line="360" w:lineRule="auto"/>
              <w:jc w:val="center"/>
              <w:rPr>
                <w:rFonts w:ascii="Arial" w:hAnsi="Arial" w:cs="Arial"/>
                <w:bCs/>
              </w:rPr>
            </w:pPr>
            <w:r w:rsidRPr="004B552B">
              <w:rPr>
                <w:rFonts w:ascii="Arial" w:hAnsi="Arial" w:cs="Arial"/>
                <w:bCs/>
              </w:rPr>
              <w:t>Coordinador</w:t>
            </w:r>
            <w:r w:rsidR="007D39FA" w:rsidRPr="004B552B">
              <w:rPr>
                <w:rFonts w:ascii="Arial" w:hAnsi="Arial" w:cs="Arial"/>
                <w:bCs/>
              </w:rPr>
              <w:t>a</w:t>
            </w:r>
          </w:p>
        </w:tc>
      </w:tr>
      <w:tr w:rsidR="00855650" w:rsidRPr="004B552B" w14:paraId="50132D96" w14:textId="77777777" w:rsidTr="002367AD">
        <w:trPr>
          <w:jc w:val="center"/>
        </w:trPr>
        <w:tc>
          <w:tcPr>
            <w:tcW w:w="6374" w:type="dxa"/>
            <w:shd w:val="clear" w:color="auto" w:fill="auto"/>
          </w:tcPr>
          <w:p w14:paraId="5820A067" w14:textId="39AAFE62" w:rsidR="00855650" w:rsidRPr="004B552B" w:rsidRDefault="00FD4E8F" w:rsidP="002367AD">
            <w:pPr>
              <w:spacing w:line="360" w:lineRule="auto"/>
              <w:rPr>
                <w:rFonts w:ascii="Arial" w:hAnsi="Arial" w:cs="Arial"/>
                <w:bCs/>
              </w:rPr>
            </w:pPr>
            <w:r w:rsidRPr="004B552B">
              <w:rPr>
                <w:rFonts w:ascii="Arial" w:hAnsi="Arial" w:cs="Arial"/>
                <w:bCs/>
              </w:rPr>
              <w:t>M.E. Gilda Guadalupe Albertty Rangel</w:t>
            </w:r>
          </w:p>
        </w:tc>
        <w:tc>
          <w:tcPr>
            <w:tcW w:w="2977" w:type="dxa"/>
            <w:shd w:val="clear" w:color="auto" w:fill="auto"/>
          </w:tcPr>
          <w:p w14:paraId="76B670D2" w14:textId="39E1BA56" w:rsidR="00855650" w:rsidRPr="004B552B" w:rsidRDefault="00855650" w:rsidP="00B93F1F">
            <w:pPr>
              <w:spacing w:line="360" w:lineRule="auto"/>
              <w:jc w:val="center"/>
              <w:rPr>
                <w:rFonts w:ascii="Arial" w:hAnsi="Arial" w:cs="Arial"/>
                <w:bCs/>
              </w:rPr>
            </w:pPr>
            <w:r w:rsidRPr="004B552B">
              <w:rPr>
                <w:rFonts w:ascii="Arial" w:hAnsi="Arial" w:cs="Arial"/>
                <w:bCs/>
              </w:rPr>
              <w:t>Supervisor</w:t>
            </w:r>
            <w:r w:rsidR="00FC4516" w:rsidRPr="004B552B">
              <w:rPr>
                <w:rFonts w:ascii="Arial" w:hAnsi="Arial" w:cs="Arial"/>
                <w:bCs/>
              </w:rPr>
              <w:t>a</w:t>
            </w:r>
          </w:p>
        </w:tc>
      </w:tr>
    </w:tbl>
    <w:p w14:paraId="15F96767" w14:textId="77777777" w:rsidR="005746CF" w:rsidRPr="00AB594B" w:rsidRDefault="005746CF" w:rsidP="0041150F">
      <w:pPr>
        <w:spacing w:line="360" w:lineRule="auto"/>
        <w:ind w:right="190"/>
        <w:jc w:val="both"/>
        <w:rPr>
          <w:rFonts w:ascii="Arial" w:hAnsi="Arial" w:cs="Arial"/>
          <w:b/>
          <w:sz w:val="20"/>
          <w:szCs w:val="20"/>
        </w:rPr>
      </w:pPr>
    </w:p>
    <w:p w14:paraId="507D5E3D" w14:textId="2DAB08BD" w:rsidR="00615C7A" w:rsidRPr="004B552B" w:rsidRDefault="005F7A39" w:rsidP="00D02BB2">
      <w:pPr>
        <w:spacing w:line="360" w:lineRule="auto"/>
        <w:ind w:right="190"/>
        <w:jc w:val="both"/>
        <w:rPr>
          <w:rFonts w:ascii="Arial" w:hAnsi="Arial" w:cs="Arial"/>
          <w:b/>
        </w:rPr>
      </w:pPr>
      <w:r w:rsidRPr="004B552B">
        <w:rPr>
          <w:rFonts w:ascii="Arial" w:hAnsi="Arial" w:cs="Arial"/>
          <w:b/>
        </w:rPr>
        <w:t>I</w:t>
      </w:r>
      <w:r w:rsidR="00C47B98" w:rsidRPr="004B552B">
        <w:rPr>
          <w:rFonts w:ascii="Arial" w:hAnsi="Arial" w:cs="Arial"/>
          <w:b/>
        </w:rPr>
        <w:t>.2</w:t>
      </w:r>
      <w:r w:rsidRPr="004B552B">
        <w:rPr>
          <w:rFonts w:ascii="Arial" w:hAnsi="Arial" w:cs="Arial"/>
          <w:b/>
        </w:rPr>
        <w:t>.</w:t>
      </w:r>
      <w:r w:rsidR="004D1CA5" w:rsidRPr="004B552B">
        <w:rPr>
          <w:rFonts w:ascii="Arial" w:hAnsi="Arial" w:cs="Arial"/>
          <w:b/>
        </w:rPr>
        <w:t xml:space="preserve"> </w:t>
      </w:r>
      <w:r w:rsidRPr="004B552B">
        <w:rPr>
          <w:rFonts w:ascii="Arial" w:hAnsi="Arial" w:cs="Arial"/>
          <w:b/>
        </w:rPr>
        <w:t xml:space="preserve">CUMPLIMIENTO DE </w:t>
      </w:r>
      <w:r w:rsidR="0073389F" w:rsidRPr="004B552B">
        <w:rPr>
          <w:rFonts w:ascii="Arial" w:hAnsi="Arial" w:cs="Arial"/>
          <w:b/>
        </w:rPr>
        <w:t>DISPOSICIONES LEGALES Y NORMATIVAS</w:t>
      </w:r>
    </w:p>
    <w:p w14:paraId="65B9127B" w14:textId="62BD2B9B" w:rsidR="005E4A7A" w:rsidRPr="00AB594B" w:rsidRDefault="005E4A7A" w:rsidP="00D02BB2">
      <w:pPr>
        <w:spacing w:line="360" w:lineRule="auto"/>
        <w:ind w:right="48"/>
        <w:jc w:val="both"/>
        <w:rPr>
          <w:rFonts w:ascii="Arial" w:hAnsi="Arial" w:cs="Arial"/>
          <w:sz w:val="20"/>
          <w:szCs w:val="20"/>
        </w:rPr>
      </w:pPr>
    </w:p>
    <w:p w14:paraId="40DBD336" w14:textId="50DC9339" w:rsidR="00FB4CE6" w:rsidRPr="004B552B" w:rsidRDefault="000428C1" w:rsidP="00287B23">
      <w:pPr>
        <w:spacing w:line="360" w:lineRule="auto"/>
        <w:ind w:right="190"/>
        <w:jc w:val="both"/>
        <w:rPr>
          <w:rFonts w:ascii="Arial" w:hAnsi="Arial" w:cs="Arial"/>
        </w:rPr>
      </w:pPr>
      <w:r w:rsidRPr="004B552B">
        <w:rPr>
          <w:rFonts w:ascii="Arial" w:hAnsi="Arial" w:cs="Arial"/>
        </w:rPr>
        <w:t xml:space="preserve">La revisión se llevó a cabo aplicando Normas Profesionales de Auditoría del Sistema Nacional de Fiscalización, así como en apego a la Ley General de Contabilidad Gubernamental, y a las disposiciones establecidas en el Manual de Procedimientos denominado “Contabilidad del Fondo Mixto” y lo emitido por el Consejo Nacional de Armonización Contable (CONAC), dando cumplimiento a las diversas disposiciones legales y normativas aplicables, </w:t>
      </w:r>
      <w:r w:rsidR="006E4C42" w:rsidRPr="004B552B">
        <w:rPr>
          <w:rFonts w:ascii="Arial" w:hAnsi="Arial" w:cs="Arial"/>
        </w:rPr>
        <w:t xml:space="preserve">en observancia al artículo 38 fracción III de la Ley de Fiscalización y Rendición de Cuentas del Estado de Quintana Roo; </w:t>
      </w:r>
      <w:r w:rsidRPr="004B552B">
        <w:rPr>
          <w:rFonts w:ascii="Arial" w:hAnsi="Arial" w:cs="Arial"/>
        </w:rPr>
        <w:t>por lo que se incluyeron pruebas a los registros de contabilidad y procedimientos de verificación que se consideraron necesarios en hechos y circunstancias, relativas a los estados financier</w:t>
      </w:r>
      <w:r w:rsidR="00BA41C3" w:rsidRPr="004B552B">
        <w:rPr>
          <w:rFonts w:ascii="Arial" w:hAnsi="Arial" w:cs="Arial"/>
        </w:rPr>
        <w:t>os</w:t>
      </w:r>
      <w:r w:rsidRPr="004B552B">
        <w:rPr>
          <w:rFonts w:ascii="Arial" w:hAnsi="Arial" w:cs="Arial"/>
        </w:rPr>
        <w:t xml:space="preserve"> sujetos a examen, mediante los cuales se obtuvieron las bases para fundamentar el dictamen del Informe Individual.</w:t>
      </w:r>
    </w:p>
    <w:p w14:paraId="3908C7F3" w14:textId="77777777" w:rsidR="004B68F5" w:rsidRPr="00AB594B" w:rsidRDefault="004B68F5" w:rsidP="00287B23">
      <w:pPr>
        <w:spacing w:line="360" w:lineRule="auto"/>
        <w:ind w:right="190"/>
        <w:jc w:val="both"/>
        <w:rPr>
          <w:rFonts w:ascii="Arial" w:hAnsi="Arial" w:cs="Arial"/>
          <w:sz w:val="20"/>
          <w:szCs w:val="20"/>
        </w:rPr>
      </w:pPr>
    </w:p>
    <w:p w14:paraId="24018CBA" w14:textId="2DC1A146" w:rsidR="007D39FA" w:rsidRPr="004B552B" w:rsidRDefault="00212E90" w:rsidP="003A2C99">
      <w:pPr>
        <w:pStyle w:val="Prrafodelista"/>
        <w:numPr>
          <w:ilvl w:val="0"/>
          <w:numId w:val="23"/>
        </w:numPr>
        <w:spacing w:line="360" w:lineRule="auto"/>
        <w:ind w:left="284" w:right="190" w:hanging="284"/>
        <w:jc w:val="both"/>
        <w:rPr>
          <w:rFonts w:ascii="Arial" w:hAnsi="Arial" w:cs="Arial"/>
          <w:b/>
        </w:rPr>
      </w:pPr>
      <w:r w:rsidRPr="004B552B">
        <w:rPr>
          <w:rFonts w:ascii="Arial" w:hAnsi="Arial" w:cs="Arial"/>
          <w:b/>
        </w:rPr>
        <w:t>Conclusiones</w:t>
      </w:r>
    </w:p>
    <w:p w14:paraId="30E2AD56" w14:textId="77777777" w:rsidR="00367D30" w:rsidRPr="00AB594B" w:rsidRDefault="00367D30" w:rsidP="00367D30">
      <w:pPr>
        <w:pStyle w:val="Prrafodelista"/>
        <w:spacing w:line="360" w:lineRule="auto"/>
        <w:ind w:left="720" w:right="190"/>
        <w:jc w:val="both"/>
        <w:rPr>
          <w:rFonts w:ascii="Arial" w:hAnsi="Arial" w:cs="Arial"/>
          <w:b/>
          <w:sz w:val="20"/>
          <w:szCs w:val="20"/>
        </w:rPr>
      </w:pPr>
    </w:p>
    <w:p w14:paraId="370BC9DD" w14:textId="6B383021" w:rsidR="0017430A" w:rsidRPr="004B552B" w:rsidRDefault="007D39FA" w:rsidP="00B93F1F">
      <w:pPr>
        <w:spacing w:line="360" w:lineRule="auto"/>
        <w:ind w:right="190"/>
        <w:jc w:val="both"/>
        <w:rPr>
          <w:rFonts w:ascii="Arial" w:hAnsi="Arial" w:cs="Arial"/>
        </w:rPr>
      </w:pPr>
      <w:r w:rsidRPr="004B552B">
        <w:rPr>
          <w:rFonts w:ascii="Arial" w:hAnsi="Arial" w:cs="Arial"/>
        </w:rPr>
        <w:t>Se constató el cumplimiento de la Ley General</w:t>
      </w:r>
      <w:r w:rsidR="00D439CD" w:rsidRPr="004B552B">
        <w:rPr>
          <w:rFonts w:ascii="Arial" w:hAnsi="Arial" w:cs="Arial"/>
        </w:rPr>
        <w:t xml:space="preserve"> de Contabilidad Gubernamental</w:t>
      </w:r>
      <w:r w:rsidRPr="004B552B">
        <w:rPr>
          <w:rFonts w:ascii="Arial" w:hAnsi="Arial" w:cs="Arial"/>
        </w:rPr>
        <w:t>, así como de lo emitido por el Consejo Nacional d</w:t>
      </w:r>
      <w:r w:rsidR="00953D26">
        <w:rPr>
          <w:rFonts w:ascii="Arial" w:hAnsi="Arial" w:cs="Arial"/>
        </w:rPr>
        <w:t xml:space="preserve">e Armonización Contable (CONAC), el </w:t>
      </w:r>
      <w:r w:rsidR="00953D26" w:rsidRPr="004B552B">
        <w:rPr>
          <w:rFonts w:ascii="Arial" w:hAnsi="Arial" w:cs="Arial"/>
        </w:rPr>
        <w:t xml:space="preserve">Contrato de Cesión de Derechos y Obligaciones a Título Gratuito, y el Convenio de Extinción total al Contrato de Fideicomiso denominado </w:t>
      </w:r>
      <w:r w:rsidR="00953D26" w:rsidRPr="004B552B">
        <w:rPr>
          <w:rFonts w:ascii="Arial" w:hAnsi="Arial" w:cs="Arial"/>
          <w:b/>
        </w:rPr>
        <w:t>“Fondo Mixto CONACYT-Gobierno del Estado de Quintana Roo”</w:t>
      </w:r>
      <w:r w:rsidR="00953D26" w:rsidRPr="004B552B">
        <w:rPr>
          <w:rFonts w:ascii="Arial" w:hAnsi="Arial" w:cs="Arial"/>
        </w:rPr>
        <w:t xml:space="preserve">, </w:t>
      </w:r>
      <w:r w:rsidR="00953D26" w:rsidRPr="004B552B">
        <w:rPr>
          <w:rFonts w:ascii="Arial" w:hAnsi="Arial" w:cs="Arial"/>
          <w:b/>
        </w:rPr>
        <w:t>FON.MIX.16/2022</w:t>
      </w:r>
      <w:r w:rsidRPr="004B552B">
        <w:rPr>
          <w:rFonts w:ascii="Arial" w:hAnsi="Arial" w:cs="Arial"/>
        </w:rPr>
        <w:t xml:space="preserve"> </w:t>
      </w:r>
      <w:r w:rsidR="00953D26">
        <w:rPr>
          <w:rFonts w:ascii="Arial" w:hAnsi="Arial" w:cs="Arial"/>
        </w:rPr>
        <w:t xml:space="preserve">y </w:t>
      </w:r>
      <w:r w:rsidRPr="004B552B">
        <w:rPr>
          <w:rFonts w:ascii="Arial" w:hAnsi="Arial" w:cs="Arial"/>
        </w:rPr>
        <w:t xml:space="preserve">demás disposiciones legales y normativas aplicables. </w:t>
      </w:r>
    </w:p>
    <w:p w14:paraId="4FFCCBD7" w14:textId="64284A0F" w:rsidR="0041150F" w:rsidRPr="00AB594B" w:rsidRDefault="0041150F" w:rsidP="00B93F1F">
      <w:pPr>
        <w:spacing w:line="360" w:lineRule="auto"/>
        <w:ind w:right="190"/>
        <w:jc w:val="both"/>
        <w:rPr>
          <w:rFonts w:ascii="Arial" w:hAnsi="Arial" w:cs="Arial"/>
          <w:sz w:val="20"/>
          <w:szCs w:val="20"/>
        </w:rPr>
      </w:pPr>
    </w:p>
    <w:p w14:paraId="3DBDCE61" w14:textId="1DEB74F3" w:rsidR="008443FB" w:rsidRPr="004B552B" w:rsidRDefault="00B93E82" w:rsidP="00367D30">
      <w:pPr>
        <w:spacing w:line="360" w:lineRule="auto"/>
        <w:ind w:right="190"/>
        <w:jc w:val="both"/>
        <w:rPr>
          <w:rFonts w:ascii="Arial" w:hAnsi="Arial" w:cs="Arial"/>
          <w:b/>
        </w:rPr>
      </w:pPr>
      <w:r w:rsidRPr="004B552B">
        <w:rPr>
          <w:rFonts w:ascii="Arial" w:hAnsi="Arial" w:cs="Arial"/>
          <w:b/>
        </w:rPr>
        <w:t>I</w:t>
      </w:r>
      <w:r w:rsidR="00C47B98" w:rsidRPr="004B552B">
        <w:rPr>
          <w:rFonts w:ascii="Arial" w:hAnsi="Arial" w:cs="Arial"/>
          <w:b/>
        </w:rPr>
        <w:t>.3</w:t>
      </w:r>
      <w:r w:rsidR="00F326F4" w:rsidRPr="004B552B">
        <w:rPr>
          <w:rFonts w:ascii="Arial" w:hAnsi="Arial" w:cs="Arial"/>
          <w:b/>
        </w:rPr>
        <w:t>.</w:t>
      </w:r>
      <w:r w:rsidR="001C3236" w:rsidRPr="004B552B">
        <w:rPr>
          <w:rFonts w:ascii="Arial" w:hAnsi="Arial" w:cs="Arial"/>
          <w:b/>
        </w:rPr>
        <w:t xml:space="preserve"> </w:t>
      </w:r>
      <w:r w:rsidR="00F326F4" w:rsidRPr="004B552B">
        <w:rPr>
          <w:rFonts w:ascii="Arial" w:hAnsi="Arial" w:cs="Arial"/>
          <w:b/>
        </w:rPr>
        <w:t>RESULTADOS</w:t>
      </w:r>
      <w:r w:rsidR="005F7A39" w:rsidRPr="004B552B">
        <w:rPr>
          <w:rFonts w:ascii="Arial" w:hAnsi="Arial" w:cs="Arial"/>
          <w:b/>
        </w:rPr>
        <w:t xml:space="preserve"> DE LA </w:t>
      </w:r>
      <w:r w:rsidR="004D1CA5" w:rsidRPr="004B552B">
        <w:rPr>
          <w:rFonts w:ascii="Arial" w:hAnsi="Arial" w:cs="Arial"/>
          <w:b/>
        </w:rPr>
        <w:t>FISCALIZACI</w:t>
      </w:r>
      <w:r w:rsidR="00FC74E3" w:rsidRPr="004B552B">
        <w:rPr>
          <w:rFonts w:ascii="Arial" w:hAnsi="Arial" w:cs="Arial"/>
          <w:b/>
        </w:rPr>
        <w:t>Ó</w:t>
      </w:r>
      <w:r w:rsidR="004D1CA5" w:rsidRPr="004B552B">
        <w:rPr>
          <w:rFonts w:ascii="Arial" w:hAnsi="Arial" w:cs="Arial"/>
          <w:b/>
        </w:rPr>
        <w:t>N</w:t>
      </w:r>
      <w:r w:rsidR="005F7A39" w:rsidRPr="004B552B">
        <w:rPr>
          <w:rFonts w:ascii="Arial" w:hAnsi="Arial" w:cs="Arial"/>
          <w:b/>
        </w:rPr>
        <w:t xml:space="preserve"> EFECTUADA</w:t>
      </w:r>
    </w:p>
    <w:p w14:paraId="6CF23EE7" w14:textId="77777777" w:rsidR="00367D30" w:rsidRPr="00AB594B" w:rsidRDefault="00367D30" w:rsidP="00367D30">
      <w:pPr>
        <w:spacing w:line="360" w:lineRule="auto"/>
        <w:ind w:right="190"/>
        <w:jc w:val="both"/>
        <w:rPr>
          <w:rFonts w:ascii="Arial" w:hAnsi="Arial" w:cs="Arial"/>
          <w:b/>
          <w:sz w:val="20"/>
          <w:szCs w:val="20"/>
        </w:rPr>
      </w:pPr>
    </w:p>
    <w:p w14:paraId="2286B5D2" w14:textId="5D0DCA19" w:rsidR="00CC3FA9" w:rsidRDefault="00865465" w:rsidP="0017430A">
      <w:pPr>
        <w:spacing w:line="360" w:lineRule="auto"/>
        <w:ind w:right="190"/>
        <w:jc w:val="both"/>
        <w:rPr>
          <w:rFonts w:ascii="Arial" w:hAnsi="Arial" w:cs="Arial"/>
        </w:rPr>
      </w:pPr>
      <w:r w:rsidRPr="004B552B">
        <w:rPr>
          <w:rFonts w:ascii="Arial" w:hAnsi="Arial" w:cs="Arial"/>
        </w:rPr>
        <w:t>De conformidad con los artículos 17 fracciones I y II, 38</w:t>
      </w:r>
      <w:r w:rsidR="000922B6" w:rsidRPr="004B552B">
        <w:rPr>
          <w:rFonts w:ascii="Arial" w:hAnsi="Arial" w:cs="Arial"/>
        </w:rPr>
        <w:t xml:space="preserve"> fracción IV</w:t>
      </w:r>
      <w:r w:rsidRPr="004B552B">
        <w:rPr>
          <w:rFonts w:ascii="Arial" w:hAnsi="Arial" w:cs="Arial"/>
        </w:rPr>
        <w:t xml:space="preserve">, 41 en su segundo párrafo, y 61 párrafo primero de la Ley de Fiscalización y Rendición de Cuentas del Estado de Quintana Roo, 4, 8 y 9 </w:t>
      </w:r>
      <w:r w:rsidR="001B17BC" w:rsidRPr="004B552B">
        <w:rPr>
          <w:rFonts w:ascii="Arial" w:hAnsi="Arial" w:cs="Arial"/>
        </w:rPr>
        <w:t xml:space="preserve">fracciones X, XI, XVIII y XXVI </w:t>
      </w:r>
      <w:r w:rsidRPr="004B552B">
        <w:rPr>
          <w:rFonts w:ascii="Arial" w:hAnsi="Arial" w:cs="Arial"/>
        </w:rPr>
        <w:t xml:space="preserve">del Reglamento Interior de la Auditoría Superior </w:t>
      </w:r>
      <w:r w:rsidR="00FF5197" w:rsidRPr="004B552B">
        <w:rPr>
          <w:rFonts w:ascii="Arial" w:hAnsi="Arial" w:cs="Arial"/>
        </w:rPr>
        <w:t>del Estado de Quintana Roo</w:t>
      </w:r>
      <w:r w:rsidRPr="004B552B">
        <w:rPr>
          <w:rFonts w:ascii="Arial" w:hAnsi="Arial" w:cs="Arial"/>
        </w:rPr>
        <w:t xml:space="preserve">, </w:t>
      </w:r>
      <w:r w:rsidR="00CC3FA9" w:rsidRPr="004B552B">
        <w:rPr>
          <w:rFonts w:ascii="Arial" w:hAnsi="Arial" w:cs="Arial"/>
        </w:rPr>
        <w:t>durante este proceso de auditoría al ente fiscalizado fueron aplicados los procedimientos de revis</w:t>
      </w:r>
      <w:r w:rsidR="002F0FCC" w:rsidRPr="004B552B">
        <w:rPr>
          <w:rFonts w:ascii="Arial" w:hAnsi="Arial" w:cs="Arial"/>
        </w:rPr>
        <w:t>ión y fiscalización conforme al</w:t>
      </w:r>
      <w:r w:rsidR="00CC3FA9" w:rsidRPr="004B552B">
        <w:rPr>
          <w:rFonts w:ascii="Arial" w:hAnsi="Arial" w:cs="Arial"/>
        </w:rPr>
        <w:t xml:space="preserve"> apartado I, determinándose los resultados finales de auditoría, concluyéndose que no se obtuvieron observaciones respecto de las operaciones financieras sujetas a fiscalización de acuerdo al alcance de revisión.</w:t>
      </w:r>
    </w:p>
    <w:p w14:paraId="19CF3E42" w14:textId="7766A456" w:rsidR="00AB594B" w:rsidRPr="00216636" w:rsidRDefault="00AB594B" w:rsidP="0017430A">
      <w:pPr>
        <w:spacing w:line="360" w:lineRule="auto"/>
        <w:ind w:right="190"/>
        <w:jc w:val="both"/>
        <w:rPr>
          <w:rFonts w:ascii="Arial" w:hAnsi="Arial" w:cs="Arial"/>
        </w:rPr>
      </w:pPr>
    </w:p>
    <w:p w14:paraId="6424A28D" w14:textId="21945C4E" w:rsidR="00112484" w:rsidRPr="004B552B" w:rsidRDefault="00B93E82" w:rsidP="00F44933">
      <w:pPr>
        <w:tabs>
          <w:tab w:val="left" w:pos="2160"/>
        </w:tabs>
        <w:spacing w:line="360" w:lineRule="auto"/>
        <w:ind w:right="190"/>
        <w:jc w:val="both"/>
        <w:rPr>
          <w:rFonts w:ascii="Arial" w:hAnsi="Arial" w:cs="Arial"/>
          <w:b/>
        </w:rPr>
      </w:pPr>
      <w:r w:rsidRPr="004B552B">
        <w:rPr>
          <w:rFonts w:ascii="Arial" w:hAnsi="Arial" w:cs="Arial"/>
          <w:b/>
        </w:rPr>
        <w:t>I</w:t>
      </w:r>
      <w:r w:rsidR="002F0334" w:rsidRPr="004B552B">
        <w:rPr>
          <w:rFonts w:ascii="Arial" w:hAnsi="Arial" w:cs="Arial"/>
          <w:b/>
        </w:rPr>
        <w:t>I</w:t>
      </w:r>
      <w:r w:rsidR="00183532" w:rsidRPr="004B552B">
        <w:rPr>
          <w:rFonts w:ascii="Arial" w:hAnsi="Arial" w:cs="Arial"/>
          <w:b/>
        </w:rPr>
        <w:t xml:space="preserve">. </w:t>
      </w:r>
      <w:r w:rsidR="00BE445E" w:rsidRPr="004B552B">
        <w:rPr>
          <w:rFonts w:ascii="Arial" w:hAnsi="Arial" w:cs="Arial"/>
          <w:b/>
        </w:rPr>
        <w:t xml:space="preserve">DICTAMEN </w:t>
      </w:r>
      <w:r w:rsidR="00CC0C9E" w:rsidRPr="004B552B">
        <w:rPr>
          <w:rFonts w:ascii="Arial" w:hAnsi="Arial" w:cs="Arial"/>
          <w:b/>
        </w:rPr>
        <w:t>DEL INFORME INDIVIDUAL</w:t>
      </w:r>
      <w:r w:rsidR="00BE445E" w:rsidRPr="004B552B">
        <w:rPr>
          <w:rFonts w:ascii="Arial" w:hAnsi="Arial" w:cs="Arial"/>
          <w:b/>
        </w:rPr>
        <w:t xml:space="preserve"> DE AUDITORÍA</w:t>
      </w:r>
    </w:p>
    <w:p w14:paraId="6C7CDD60" w14:textId="77777777" w:rsidR="00BE445E" w:rsidRPr="00AB594B" w:rsidRDefault="00BE445E" w:rsidP="00F44933">
      <w:pPr>
        <w:tabs>
          <w:tab w:val="left" w:pos="2160"/>
        </w:tabs>
        <w:spacing w:line="360" w:lineRule="auto"/>
        <w:ind w:right="190"/>
        <w:jc w:val="both"/>
        <w:rPr>
          <w:rFonts w:ascii="Arial" w:hAnsi="Arial" w:cs="Arial"/>
          <w:b/>
          <w:sz w:val="20"/>
          <w:szCs w:val="20"/>
        </w:rPr>
      </w:pPr>
    </w:p>
    <w:p w14:paraId="3AC06E62" w14:textId="12B8255E" w:rsidR="00E024A3" w:rsidRPr="004B552B" w:rsidRDefault="00E024A3" w:rsidP="00E024A3">
      <w:pPr>
        <w:spacing w:line="360" w:lineRule="auto"/>
        <w:ind w:right="190"/>
        <w:jc w:val="both"/>
        <w:rPr>
          <w:rFonts w:ascii="Arial" w:hAnsi="Arial" w:cs="Arial"/>
          <w:b/>
        </w:rPr>
      </w:pPr>
      <w:r w:rsidRPr="004B552B">
        <w:rPr>
          <w:rFonts w:ascii="Arial" w:hAnsi="Arial" w:cs="Arial"/>
        </w:rPr>
        <w:t>El presente dic</w:t>
      </w:r>
      <w:r w:rsidR="007D39FA" w:rsidRPr="004B552B">
        <w:rPr>
          <w:rFonts w:ascii="Arial" w:hAnsi="Arial" w:cs="Arial"/>
        </w:rPr>
        <w:t xml:space="preserve">tamen se emite </w:t>
      </w:r>
      <w:r w:rsidR="00367D30" w:rsidRPr="004B552B">
        <w:rPr>
          <w:rFonts w:ascii="Arial" w:hAnsi="Arial" w:cs="Arial"/>
        </w:rPr>
        <w:t xml:space="preserve">el </w:t>
      </w:r>
      <w:r w:rsidR="003F1667" w:rsidRPr="004B552B">
        <w:rPr>
          <w:rFonts w:ascii="Arial" w:hAnsi="Arial" w:cs="Arial"/>
        </w:rPr>
        <w:t>19</w:t>
      </w:r>
      <w:r w:rsidR="003869A7" w:rsidRPr="004B552B">
        <w:rPr>
          <w:rFonts w:ascii="Arial" w:hAnsi="Arial" w:cs="Arial"/>
        </w:rPr>
        <w:t xml:space="preserve"> de junio de 2023</w:t>
      </w:r>
      <w:r w:rsidR="007D39FA" w:rsidRPr="004B552B">
        <w:rPr>
          <w:rFonts w:ascii="Arial" w:hAnsi="Arial" w:cs="Arial"/>
        </w:rPr>
        <w:t xml:space="preserve">, </w:t>
      </w:r>
      <w:r w:rsidRPr="004B552B">
        <w:rPr>
          <w:rFonts w:ascii="Arial" w:hAnsi="Arial" w:cs="Arial"/>
        </w:rPr>
        <w:t>fecha de conclusión de los trabajos de auditoría, la cual se practicó sobre la información financiera proporcionada por la entidad fiscalizable, consistente en l</w:t>
      </w:r>
      <w:r w:rsidR="009044A0" w:rsidRPr="004B552B">
        <w:rPr>
          <w:rFonts w:ascii="Arial" w:hAnsi="Arial" w:cs="Arial"/>
        </w:rPr>
        <w:t>os estados,</w:t>
      </w:r>
      <w:r w:rsidR="00D439CD" w:rsidRPr="004B552B">
        <w:rPr>
          <w:rFonts w:ascii="Arial" w:hAnsi="Arial" w:cs="Arial"/>
        </w:rPr>
        <w:t xml:space="preserve"> informes contables</w:t>
      </w:r>
      <w:r w:rsidR="008632FF" w:rsidRPr="004B552B">
        <w:rPr>
          <w:rFonts w:ascii="Arial" w:hAnsi="Arial" w:cs="Arial"/>
        </w:rPr>
        <w:t xml:space="preserve"> y</w:t>
      </w:r>
      <w:r w:rsidR="00D439CD" w:rsidRPr="004B552B">
        <w:rPr>
          <w:rFonts w:ascii="Arial" w:hAnsi="Arial" w:cs="Arial"/>
        </w:rPr>
        <w:t xml:space="preserve"> </w:t>
      </w:r>
      <w:r w:rsidR="008632FF" w:rsidRPr="004B552B">
        <w:rPr>
          <w:rFonts w:ascii="Arial" w:hAnsi="Arial" w:cs="Arial"/>
        </w:rPr>
        <w:t>Contrato de Cesión de Derechos y</w:t>
      </w:r>
      <w:r w:rsidR="003E3410">
        <w:rPr>
          <w:rFonts w:ascii="Arial" w:hAnsi="Arial" w:cs="Arial"/>
        </w:rPr>
        <w:t xml:space="preserve"> Obligaciones a Título Gratuito</w:t>
      </w:r>
      <w:r w:rsidR="008632FF" w:rsidRPr="004B552B">
        <w:rPr>
          <w:rFonts w:ascii="Arial" w:hAnsi="Arial" w:cs="Arial"/>
        </w:rPr>
        <w:t xml:space="preserve"> y el Convenio de Extinción total al Contrato de Fideicomiso denominado </w:t>
      </w:r>
      <w:r w:rsidR="008632FF" w:rsidRPr="004B552B">
        <w:rPr>
          <w:rFonts w:ascii="Arial" w:hAnsi="Arial" w:cs="Arial"/>
          <w:b/>
        </w:rPr>
        <w:t>“Fondo Mixto CONACYT-Gobierno del Estado de Quintana Roo”</w:t>
      </w:r>
      <w:r w:rsidR="008632FF" w:rsidRPr="004B552B">
        <w:rPr>
          <w:rFonts w:ascii="Arial" w:hAnsi="Arial" w:cs="Arial"/>
        </w:rPr>
        <w:t xml:space="preserve">, </w:t>
      </w:r>
      <w:r w:rsidR="008632FF" w:rsidRPr="004B552B">
        <w:rPr>
          <w:rFonts w:ascii="Arial" w:hAnsi="Arial" w:cs="Arial"/>
          <w:b/>
        </w:rPr>
        <w:t xml:space="preserve">FON.MIX.16/2022 </w:t>
      </w:r>
      <w:r w:rsidRPr="004B552B">
        <w:rPr>
          <w:rFonts w:ascii="Arial" w:hAnsi="Arial" w:cs="Arial"/>
        </w:rPr>
        <w:t xml:space="preserve">que integran la Cuenta Pública del ejercicio fiscal </w:t>
      </w:r>
      <w:r w:rsidR="00485163" w:rsidRPr="004B552B">
        <w:rPr>
          <w:rFonts w:ascii="Arial" w:hAnsi="Arial" w:cs="Arial"/>
        </w:rPr>
        <w:t>2022</w:t>
      </w:r>
      <w:r w:rsidR="006A3E06" w:rsidRPr="004B552B">
        <w:rPr>
          <w:rFonts w:ascii="Arial" w:hAnsi="Arial" w:cs="Arial"/>
        </w:rPr>
        <w:t>,</w:t>
      </w:r>
      <w:r w:rsidR="007D39FA" w:rsidRPr="004B552B">
        <w:rPr>
          <w:rFonts w:ascii="Arial" w:hAnsi="Arial" w:cs="Arial"/>
        </w:rPr>
        <w:t xml:space="preserve"> </w:t>
      </w:r>
      <w:r w:rsidRPr="004B552B">
        <w:rPr>
          <w:rFonts w:ascii="Arial" w:hAnsi="Arial" w:cs="Arial"/>
        </w:rPr>
        <w:t>formulados,</w:t>
      </w:r>
      <w:r w:rsidR="008D71CC" w:rsidRPr="004B552B">
        <w:rPr>
          <w:rFonts w:ascii="Arial" w:hAnsi="Arial" w:cs="Arial"/>
        </w:rPr>
        <w:t xml:space="preserve"> integrados y presentados por el </w:t>
      </w:r>
      <w:r w:rsidR="008D71CC" w:rsidRPr="004B552B">
        <w:rPr>
          <w:rFonts w:ascii="Arial" w:hAnsi="Arial" w:cs="Arial"/>
          <w:b/>
        </w:rPr>
        <w:t>Fondo Mixto CONACYT</w:t>
      </w:r>
      <w:r w:rsidR="00245CBD" w:rsidRPr="004B552B">
        <w:rPr>
          <w:rFonts w:ascii="Arial" w:hAnsi="Arial" w:cs="Arial"/>
          <w:b/>
        </w:rPr>
        <w:t>-</w:t>
      </w:r>
      <w:r w:rsidR="008D71CC" w:rsidRPr="004B552B">
        <w:rPr>
          <w:rFonts w:ascii="Arial" w:hAnsi="Arial" w:cs="Arial"/>
          <w:b/>
        </w:rPr>
        <w:t>Gobierno del Estado de Quintana Roo.</w:t>
      </w:r>
    </w:p>
    <w:p w14:paraId="48A0E5DF" w14:textId="77777777" w:rsidR="008D71CC" w:rsidRPr="00AB594B" w:rsidRDefault="008D71CC" w:rsidP="00E024A3">
      <w:pPr>
        <w:spacing w:line="360" w:lineRule="auto"/>
        <w:ind w:right="190"/>
        <w:jc w:val="both"/>
        <w:rPr>
          <w:rFonts w:ascii="Arial" w:hAnsi="Arial" w:cs="Arial"/>
          <w:sz w:val="20"/>
          <w:szCs w:val="20"/>
        </w:rPr>
      </w:pPr>
    </w:p>
    <w:p w14:paraId="503F3286" w14:textId="77777777" w:rsidR="00E024A3" w:rsidRPr="004B552B" w:rsidRDefault="00E024A3" w:rsidP="00E024A3">
      <w:pPr>
        <w:spacing w:line="360" w:lineRule="auto"/>
        <w:ind w:right="190"/>
        <w:jc w:val="both"/>
        <w:rPr>
          <w:rFonts w:ascii="Arial" w:hAnsi="Arial" w:cs="Arial"/>
        </w:rPr>
      </w:pPr>
      <w:r w:rsidRPr="004B552B">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AB594B" w:rsidRDefault="00E024A3" w:rsidP="00E024A3">
      <w:pPr>
        <w:spacing w:line="360" w:lineRule="auto"/>
        <w:ind w:right="190"/>
        <w:jc w:val="both"/>
        <w:rPr>
          <w:rFonts w:ascii="Arial" w:hAnsi="Arial" w:cs="Arial"/>
          <w:sz w:val="20"/>
          <w:szCs w:val="20"/>
        </w:rPr>
      </w:pPr>
    </w:p>
    <w:p w14:paraId="3F39B507" w14:textId="0261FBAC" w:rsidR="00E024A3" w:rsidRPr="004B552B" w:rsidRDefault="00E024A3" w:rsidP="00E024A3">
      <w:pPr>
        <w:spacing w:line="360" w:lineRule="auto"/>
        <w:ind w:right="190"/>
        <w:jc w:val="both"/>
        <w:rPr>
          <w:rFonts w:ascii="Arial" w:hAnsi="Arial" w:cs="Arial"/>
        </w:rPr>
      </w:pPr>
      <w:r w:rsidRPr="004B552B">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4B552B">
        <w:rPr>
          <w:rFonts w:ascii="Arial" w:hAnsi="Arial" w:cs="Arial"/>
        </w:rPr>
        <w:t>en</w:t>
      </w:r>
      <w:r w:rsidRPr="004B552B">
        <w:rPr>
          <w:rFonts w:ascii="Arial" w:hAnsi="Arial" w:cs="Arial"/>
        </w:rPr>
        <w:t xml:space="preserve"> la normatividad de la materia y los Postulados Básicos de Contabilidad Gubernamental. </w:t>
      </w:r>
      <w:r w:rsidR="00B63673" w:rsidRPr="004B552B">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3E5CB7" w:rsidRPr="004B552B">
        <w:rPr>
          <w:rFonts w:ascii="Arial" w:hAnsi="Arial" w:cs="Arial"/>
        </w:rPr>
        <w:t>vas que se estimaron necesarias</w:t>
      </w:r>
      <w:r w:rsidR="00B63673" w:rsidRPr="004B552B">
        <w:rPr>
          <w:rFonts w:ascii="Arial" w:hAnsi="Arial" w:cs="Arial"/>
        </w:rPr>
        <w:t xml:space="preserve">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AB594B" w:rsidRDefault="00B63673" w:rsidP="00E024A3">
      <w:pPr>
        <w:spacing w:line="360" w:lineRule="auto"/>
        <w:ind w:right="190"/>
        <w:jc w:val="both"/>
        <w:rPr>
          <w:rFonts w:ascii="Arial" w:hAnsi="Arial" w:cs="Arial"/>
          <w:sz w:val="20"/>
          <w:szCs w:val="20"/>
        </w:rPr>
      </w:pPr>
    </w:p>
    <w:p w14:paraId="5698C6A7" w14:textId="3E7B705B" w:rsidR="007D39FA" w:rsidRPr="004B552B" w:rsidRDefault="007D39FA" w:rsidP="007D39FA">
      <w:pPr>
        <w:spacing w:line="360" w:lineRule="auto"/>
        <w:ind w:right="190"/>
        <w:jc w:val="both"/>
        <w:rPr>
          <w:rFonts w:ascii="Arial" w:hAnsi="Arial" w:cs="Arial"/>
        </w:rPr>
      </w:pPr>
      <w:r w:rsidRPr="004B552B">
        <w:rPr>
          <w:rFonts w:ascii="Arial" w:hAnsi="Arial" w:cs="Arial"/>
        </w:rPr>
        <w:t>Con base en los resultados obtenidos</w:t>
      </w:r>
      <w:r w:rsidR="008D71CC" w:rsidRPr="004B552B">
        <w:rPr>
          <w:rFonts w:ascii="Arial" w:hAnsi="Arial" w:cs="Arial"/>
        </w:rPr>
        <w:t xml:space="preserve"> en la auditoría practicada </w:t>
      </w:r>
      <w:r w:rsidRPr="004B552B">
        <w:rPr>
          <w:rFonts w:ascii="Arial" w:hAnsi="Arial" w:cs="Arial"/>
        </w:rPr>
        <w:t xml:space="preserve">número </w:t>
      </w:r>
      <w:r w:rsidR="003E5CB7" w:rsidRPr="004B552B">
        <w:rPr>
          <w:rFonts w:ascii="Arial" w:hAnsi="Arial" w:cs="Arial"/>
          <w:b/>
        </w:rPr>
        <w:t>22-AEMF-D-GOB-101-130</w:t>
      </w:r>
      <w:r w:rsidRPr="004B552B">
        <w:rPr>
          <w:rFonts w:ascii="Arial" w:hAnsi="Arial" w:cs="Arial"/>
        </w:rPr>
        <w:t>, denominada “Auditoría de Cumplimiento Financiero de Ingresos y Gastos</w:t>
      </w:r>
      <w:r w:rsidR="003E5CB7" w:rsidRPr="004B552B">
        <w:rPr>
          <w:rFonts w:ascii="Arial" w:hAnsi="Arial" w:cs="Arial"/>
        </w:rPr>
        <w:t xml:space="preserve"> Públicos</w:t>
      </w:r>
      <w:r w:rsidRPr="004B552B">
        <w:rPr>
          <w:rFonts w:ascii="Arial" w:hAnsi="Arial" w:cs="Arial"/>
        </w:rPr>
        <w:t xml:space="preserve">”, cuyo objetivo fue </w:t>
      </w:r>
      <w:r w:rsidR="002145B4">
        <w:rPr>
          <w:rFonts w:ascii="Arial" w:hAnsi="Arial" w:cs="Arial"/>
        </w:rPr>
        <w:t>fiscalizar la gestión financiera para comprobar el cumplimiento de lo dispuesto en la Ley de Ingresos y el Presupuesto de Egresos, y conforme al Decreto del Diario Oficial de la Federación del 06 de noviembre de 2020, mediante el oficio H0000/498-0/2021, se verificó el cumplimiento de los actos, procedimientos y demás disposiciones aplicables para extinguir el fideicomiso,</w:t>
      </w:r>
      <w:r w:rsidR="002145B4" w:rsidRPr="002145B4">
        <w:rPr>
          <w:rFonts w:ascii="Arial" w:hAnsi="Arial" w:cs="Arial"/>
        </w:rPr>
        <w:t xml:space="preserve"> </w:t>
      </w:r>
      <w:r w:rsidR="002145B4" w:rsidRPr="004B552B">
        <w:rPr>
          <w:rFonts w:ascii="Arial" w:hAnsi="Arial" w:cs="Arial"/>
        </w:rPr>
        <w:t>en cuanto a los ingresos y gastos públicos, incluyendo la revisión del manejo, la custodia y la aplicación de recursos públicos estatales; así como de la demás información financiera, contable, patrimonial, presupuestaria y programática</w:t>
      </w:r>
      <w:r w:rsidR="002145B4">
        <w:rPr>
          <w:rFonts w:ascii="Arial" w:hAnsi="Arial" w:cs="Arial"/>
        </w:rPr>
        <w:t xml:space="preserve">, </w:t>
      </w:r>
      <w:r w:rsidRPr="004B552B">
        <w:rPr>
          <w:rFonts w:ascii="Arial" w:hAnsi="Arial" w:cs="Arial"/>
        </w:rPr>
        <w:t xml:space="preserve">conforme a las disposiciones aplicables, para verificar </w:t>
      </w:r>
      <w:r w:rsidR="00264EB1" w:rsidRPr="004B552B">
        <w:rPr>
          <w:rFonts w:ascii="Arial" w:hAnsi="Arial" w:cs="Arial"/>
        </w:rPr>
        <w:t>que los ingresos públicos</w:t>
      </w:r>
      <w:r w:rsidRPr="004B552B">
        <w:rPr>
          <w:rFonts w:ascii="Arial" w:hAnsi="Arial" w:cs="Arial"/>
        </w:rPr>
        <w:t>, se haya</w:t>
      </w:r>
      <w:r w:rsidR="00264EB1" w:rsidRPr="004B552B">
        <w:rPr>
          <w:rFonts w:ascii="Arial" w:hAnsi="Arial" w:cs="Arial"/>
        </w:rPr>
        <w:t>n</w:t>
      </w:r>
      <w:r w:rsidRPr="004B552B">
        <w:rPr>
          <w:rFonts w:ascii="Arial" w:hAnsi="Arial" w:cs="Arial"/>
        </w:rPr>
        <w:t xml:space="preserve"> </w:t>
      </w:r>
      <w:r w:rsidR="00264EB1" w:rsidRPr="004B552B">
        <w:rPr>
          <w:rFonts w:ascii="Arial" w:hAnsi="Arial" w:cs="Arial"/>
        </w:rPr>
        <w:t>devengado</w:t>
      </w:r>
      <w:r w:rsidRPr="004B552B">
        <w:rPr>
          <w:rFonts w:ascii="Arial" w:hAnsi="Arial" w:cs="Arial"/>
        </w:rPr>
        <w:t xml:space="preserve"> y registrado conforme a los montos aprobados, y específicamente, respecto de la muestra auditada señalada en el apartado relativo al alcance, en nuestra opinión se conclu</w:t>
      </w:r>
      <w:r w:rsidR="008D71CC" w:rsidRPr="004B552B">
        <w:rPr>
          <w:rFonts w:ascii="Arial" w:hAnsi="Arial" w:cs="Arial"/>
        </w:rPr>
        <w:t>ye que en términos generales, el</w:t>
      </w:r>
      <w:r w:rsidRPr="004B552B">
        <w:rPr>
          <w:rFonts w:ascii="Arial" w:hAnsi="Arial" w:cs="Arial"/>
        </w:rPr>
        <w:t xml:space="preserve"> </w:t>
      </w:r>
      <w:r w:rsidR="008D71CC" w:rsidRPr="004B552B">
        <w:rPr>
          <w:rFonts w:ascii="Arial" w:hAnsi="Arial" w:cs="Arial"/>
          <w:b/>
        </w:rPr>
        <w:t>Fondo Mixto CONACYT</w:t>
      </w:r>
      <w:r w:rsidR="00245CBD" w:rsidRPr="004B552B">
        <w:rPr>
          <w:rFonts w:ascii="Arial" w:hAnsi="Arial" w:cs="Arial"/>
          <w:b/>
        </w:rPr>
        <w:t>-</w:t>
      </w:r>
      <w:r w:rsidR="008D71CC" w:rsidRPr="004B552B">
        <w:rPr>
          <w:rFonts w:ascii="Arial" w:hAnsi="Arial" w:cs="Arial"/>
          <w:b/>
        </w:rPr>
        <w:t>Gobierno del Estado de Quintana Roo</w:t>
      </w:r>
      <w:r w:rsidRPr="004B552B">
        <w:rPr>
          <w:rFonts w:ascii="Arial" w:hAnsi="Arial" w:cs="Arial"/>
        </w:rPr>
        <w:t xml:space="preserve"> cumplió con las disposiciones legales y normativas que son aplicables en la materia.</w:t>
      </w:r>
    </w:p>
    <w:p w14:paraId="3C378E16" w14:textId="0D1AFC4F" w:rsidR="0061203F" w:rsidRPr="00AB594B" w:rsidRDefault="0061203F" w:rsidP="007D39FA">
      <w:pPr>
        <w:spacing w:line="360" w:lineRule="auto"/>
        <w:ind w:right="190"/>
        <w:jc w:val="both"/>
        <w:rPr>
          <w:rFonts w:ascii="Arial" w:hAnsi="Arial" w:cs="Arial"/>
          <w:sz w:val="20"/>
          <w:szCs w:val="20"/>
        </w:rPr>
      </w:pPr>
    </w:p>
    <w:p w14:paraId="686FD298" w14:textId="0323B11E" w:rsidR="002F0334" w:rsidRPr="004B552B" w:rsidRDefault="007D39FA" w:rsidP="007D39FA">
      <w:pPr>
        <w:spacing w:line="360" w:lineRule="auto"/>
        <w:ind w:right="190"/>
        <w:jc w:val="both"/>
        <w:rPr>
          <w:rFonts w:ascii="Arial" w:hAnsi="Arial" w:cs="Arial"/>
        </w:rPr>
      </w:pPr>
      <w:r w:rsidRPr="004B552B">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6179A103" w14:textId="640FE3DE" w:rsidR="0041150F" w:rsidRPr="008E5118" w:rsidRDefault="0041150F" w:rsidP="008E5118">
      <w:pPr>
        <w:spacing w:line="360" w:lineRule="auto"/>
        <w:ind w:right="190"/>
        <w:rPr>
          <w:rFonts w:ascii="Arial" w:hAnsi="Arial" w:cs="Arial"/>
          <w:b/>
          <w:sz w:val="20"/>
          <w:szCs w:val="20"/>
        </w:rPr>
      </w:pPr>
    </w:p>
    <w:p w14:paraId="33B611BD" w14:textId="7BB28D82" w:rsidR="002F0334" w:rsidRDefault="00E024A3" w:rsidP="000D29F6">
      <w:pPr>
        <w:spacing w:line="360" w:lineRule="auto"/>
        <w:ind w:right="190"/>
        <w:jc w:val="center"/>
        <w:rPr>
          <w:rFonts w:ascii="Arial" w:hAnsi="Arial" w:cs="Arial"/>
          <w:b/>
        </w:rPr>
      </w:pPr>
      <w:r w:rsidRPr="004B552B">
        <w:rPr>
          <w:rFonts w:ascii="Arial" w:hAnsi="Arial" w:cs="Arial"/>
          <w:b/>
        </w:rPr>
        <w:t>EL AUDITOR SUPERIOR DEL ESTADO</w:t>
      </w:r>
    </w:p>
    <w:p w14:paraId="0BEBB016" w14:textId="6A66690C" w:rsidR="0041150F" w:rsidRDefault="0041150F" w:rsidP="000D29F6">
      <w:pPr>
        <w:spacing w:line="360" w:lineRule="auto"/>
        <w:ind w:right="190"/>
        <w:jc w:val="center"/>
        <w:rPr>
          <w:rFonts w:ascii="Arial" w:hAnsi="Arial" w:cs="Arial"/>
          <w:b/>
        </w:rPr>
      </w:pPr>
    </w:p>
    <w:p w14:paraId="75D8D456" w14:textId="2DC124A6" w:rsidR="0041150F" w:rsidRDefault="0041150F" w:rsidP="000D29F6">
      <w:pPr>
        <w:spacing w:line="360" w:lineRule="auto"/>
        <w:ind w:right="190"/>
        <w:jc w:val="center"/>
        <w:rPr>
          <w:rFonts w:ascii="Arial" w:hAnsi="Arial" w:cs="Arial"/>
          <w:b/>
        </w:rPr>
      </w:pPr>
    </w:p>
    <w:p w14:paraId="2C95AFF6" w14:textId="7F1A2CB8" w:rsidR="0041150F" w:rsidRDefault="0041150F" w:rsidP="006E56C1">
      <w:pPr>
        <w:spacing w:line="360" w:lineRule="auto"/>
        <w:ind w:right="190"/>
        <w:rPr>
          <w:rFonts w:ascii="Arial" w:hAnsi="Arial" w:cs="Arial"/>
          <w:b/>
        </w:rPr>
      </w:pPr>
    </w:p>
    <w:p w14:paraId="01DC0ED7" w14:textId="77777777" w:rsidR="0041150F" w:rsidRPr="004B552B" w:rsidRDefault="0041150F" w:rsidP="000D29F6">
      <w:pPr>
        <w:spacing w:line="360" w:lineRule="auto"/>
        <w:ind w:right="190"/>
        <w:jc w:val="center"/>
        <w:rPr>
          <w:rFonts w:ascii="Arial" w:hAnsi="Arial" w:cs="Arial"/>
          <w:b/>
        </w:rPr>
      </w:pPr>
    </w:p>
    <w:p w14:paraId="59EDFB21" w14:textId="453AB7B1" w:rsidR="00476CF8" w:rsidRPr="00A4706C" w:rsidRDefault="007D39FA" w:rsidP="006E56C1">
      <w:pPr>
        <w:ind w:right="190"/>
        <w:jc w:val="center"/>
        <w:rPr>
          <w:rFonts w:ascii="Arial" w:hAnsi="Arial" w:cs="Arial"/>
        </w:rPr>
      </w:pPr>
      <w:r w:rsidRPr="004B552B">
        <w:rPr>
          <w:rFonts w:ascii="Arial" w:hAnsi="Arial" w:cs="Arial"/>
          <w:b/>
        </w:rPr>
        <w:t>M. EN AUD. MANUEL PALACIOS HERRERA</w:t>
      </w:r>
    </w:p>
    <w:sectPr w:rsidR="00476CF8" w:rsidRPr="00A4706C" w:rsidSect="00905C55">
      <w:headerReference w:type="default" r:id="rId8"/>
      <w:footerReference w:type="default" r:id="rId9"/>
      <w:footerReference w:type="firs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7DEAD" w14:textId="77777777" w:rsidR="00ED068F" w:rsidRDefault="00ED068F">
      <w:r>
        <w:separator/>
      </w:r>
    </w:p>
  </w:endnote>
  <w:endnote w:type="continuationSeparator" w:id="0">
    <w:p w14:paraId="02B21046" w14:textId="77777777" w:rsidR="00ED068F" w:rsidRDefault="00ED068F">
      <w:r>
        <w:continuationSeparator/>
      </w:r>
    </w:p>
  </w:endnote>
  <w:endnote w:type="continuationNotice" w:id="1">
    <w:p w14:paraId="6612E4B2" w14:textId="77777777" w:rsidR="00ED068F" w:rsidRDefault="00ED0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6E56C1" w:rsidRPr="00D875E2" w14:paraId="4C7548CF" w14:textId="77777777" w:rsidTr="000747BF">
      <w:trPr>
        <w:trHeight w:val="344"/>
      </w:trPr>
      <w:tc>
        <w:tcPr>
          <w:tcW w:w="9360" w:type="dxa"/>
          <w:shd w:val="clear" w:color="auto" w:fill="auto"/>
        </w:tcPr>
        <w:p w14:paraId="60B64B58" w14:textId="77777777" w:rsidR="006E56C1" w:rsidRPr="00D875E2" w:rsidRDefault="006E56C1" w:rsidP="008532E7">
          <w:pPr>
            <w:rPr>
              <w:rStyle w:val="nfasis"/>
              <w:i w:val="0"/>
              <w:iCs w:val="0"/>
            </w:rPr>
          </w:pPr>
        </w:p>
      </w:tc>
    </w:tr>
  </w:tbl>
  <w:p w14:paraId="4A770D42" w14:textId="62C8B3F6" w:rsidR="006E56C1" w:rsidRPr="00880D13" w:rsidRDefault="006E56C1"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915DB2">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915DB2">
      <w:rPr>
        <w:rFonts w:ascii="Arial" w:hAnsi="Arial" w:cs="Arial"/>
        <w:b/>
        <w:bCs/>
        <w:noProof/>
        <w:sz w:val="18"/>
        <w:szCs w:val="18"/>
        <w:lang w:val="es-ES"/>
      </w:rPr>
      <w:t>14</w:t>
    </w:r>
    <w:r>
      <w:rPr>
        <w:rFonts w:ascii="Arial" w:hAnsi="Arial" w:cs="Arial"/>
        <w:b/>
        <w:bCs/>
        <w:sz w:val="18"/>
        <w:szCs w:val="18"/>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969A4" w:rsidRPr="00D875E2" w14:paraId="548D2A83" w14:textId="77777777" w:rsidTr="006A3E06">
      <w:trPr>
        <w:trHeight w:val="344"/>
      </w:trPr>
      <w:tc>
        <w:tcPr>
          <w:tcW w:w="9360" w:type="dxa"/>
          <w:shd w:val="clear" w:color="auto" w:fill="auto"/>
        </w:tcPr>
        <w:p w14:paraId="2C69090E" w14:textId="77777777" w:rsidR="001969A4" w:rsidRPr="00D875E2" w:rsidRDefault="001969A4" w:rsidP="00B37C6B">
          <w:pPr>
            <w:rPr>
              <w:rStyle w:val="nfasis"/>
              <w:i w:val="0"/>
              <w:iCs w:val="0"/>
            </w:rPr>
          </w:pPr>
        </w:p>
      </w:tc>
    </w:tr>
  </w:tbl>
  <w:p w14:paraId="46A4C7EB" w14:textId="77777777" w:rsidR="001969A4" w:rsidRDefault="001969A4">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EB24" w14:textId="77777777" w:rsidR="00ED068F" w:rsidRDefault="00ED068F">
      <w:r>
        <w:separator/>
      </w:r>
    </w:p>
  </w:footnote>
  <w:footnote w:type="continuationSeparator" w:id="0">
    <w:p w14:paraId="622F9BDF" w14:textId="77777777" w:rsidR="00ED068F" w:rsidRDefault="00ED068F">
      <w:r>
        <w:continuationSeparator/>
      </w:r>
    </w:p>
  </w:footnote>
  <w:footnote w:type="continuationNotice" w:id="1">
    <w:p w14:paraId="3BC419C8" w14:textId="77777777" w:rsidR="00ED068F" w:rsidRDefault="00ED06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B7A5B" w14:textId="55487B89" w:rsidR="00AB594B" w:rsidRDefault="00AB594B">
    <w:pPr>
      <w:pStyle w:val="Encabezado"/>
    </w:pPr>
  </w:p>
  <w:tbl>
    <w:tblPr>
      <w:tblW w:w="5000" w:type="pct"/>
      <w:tblCellMar>
        <w:left w:w="70" w:type="dxa"/>
        <w:right w:w="70" w:type="dxa"/>
      </w:tblCellMar>
      <w:tblLook w:val="04A0" w:firstRow="1" w:lastRow="0" w:firstColumn="1" w:lastColumn="0" w:noHBand="0" w:noVBand="1"/>
    </w:tblPr>
    <w:tblGrid>
      <w:gridCol w:w="2086"/>
      <w:gridCol w:w="5540"/>
      <w:gridCol w:w="2062"/>
    </w:tblGrid>
    <w:tr w:rsidR="00AB594B" w:rsidRPr="00AB594B" w14:paraId="4A236453" w14:textId="77777777" w:rsidTr="00320F84">
      <w:tc>
        <w:tcPr>
          <w:tcW w:w="1077" w:type="pct"/>
          <w:vAlign w:val="center"/>
        </w:tcPr>
        <w:p w14:paraId="5BC1DFFB" w14:textId="77777777" w:rsidR="00AB594B" w:rsidRPr="00AB594B" w:rsidRDefault="00AB594B" w:rsidP="00AB594B">
          <w:pPr>
            <w:tabs>
              <w:tab w:val="center" w:pos="4419"/>
              <w:tab w:val="right" w:pos="8838"/>
            </w:tabs>
            <w:jc w:val="center"/>
            <w:rPr>
              <w:rFonts w:ascii="Arial" w:hAnsi="Arial" w:cs="Arial"/>
              <w:noProof/>
              <w:sz w:val="18"/>
              <w:szCs w:val="18"/>
              <w:lang w:eastAsia="es-MX"/>
            </w:rPr>
          </w:pPr>
        </w:p>
      </w:tc>
      <w:tc>
        <w:tcPr>
          <w:tcW w:w="2859" w:type="pct"/>
          <w:vAlign w:val="center"/>
        </w:tcPr>
        <w:p w14:paraId="37BA81BE" w14:textId="77777777" w:rsidR="00AB594B" w:rsidRPr="00AB594B" w:rsidRDefault="00AB594B" w:rsidP="00AB594B">
          <w:pPr>
            <w:tabs>
              <w:tab w:val="center" w:pos="4419"/>
              <w:tab w:val="right" w:pos="8838"/>
            </w:tabs>
            <w:jc w:val="center"/>
            <w:rPr>
              <w:rFonts w:ascii="Arial" w:hAnsi="Arial" w:cs="Arial"/>
              <w:sz w:val="18"/>
              <w:szCs w:val="18"/>
              <w:lang w:eastAsia="en-US"/>
            </w:rPr>
          </w:pPr>
        </w:p>
      </w:tc>
      <w:tc>
        <w:tcPr>
          <w:tcW w:w="1064" w:type="pct"/>
          <w:vAlign w:val="center"/>
        </w:tcPr>
        <w:p w14:paraId="09101C89" w14:textId="77777777" w:rsidR="00AB594B" w:rsidRPr="00AB594B" w:rsidRDefault="00AB594B" w:rsidP="00AB594B">
          <w:pPr>
            <w:tabs>
              <w:tab w:val="center" w:pos="4419"/>
              <w:tab w:val="right" w:pos="8838"/>
            </w:tabs>
            <w:jc w:val="right"/>
            <w:rPr>
              <w:rFonts w:ascii="Arial" w:hAnsi="Arial" w:cs="Arial"/>
              <w:noProof/>
              <w:sz w:val="16"/>
              <w:szCs w:val="16"/>
              <w:highlight w:val="magenta"/>
              <w:lang w:eastAsia="es-MX"/>
            </w:rPr>
          </w:pPr>
        </w:p>
      </w:tc>
    </w:tr>
    <w:tr w:rsidR="00AB594B" w:rsidRPr="00AB594B" w14:paraId="52A522BD" w14:textId="77777777" w:rsidTr="00320F84">
      <w:tc>
        <w:tcPr>
          <w:tcW w:w="1077" w:type="pct"/>
          <w:vAlign w:val="center"/>
          <w:hideMark/>
        </w:tcPr>
        <w:p w14:paraId="4ACC929A" w14:textId="77777777" w:rsidR="00AB594B" w:rsidRPr="00AB594B" w:rsidRDefault="00AB594B" w:rsidP="00AB594B">
          <w:pPr>
            <w:tabs>
              <w:tab w:val="center" w:pos="4419"/>
              <w:tab w:val="right" w:pos="8838"/>
            </w:tabs>
            <w:jc w:val="center"/>
            <w:rPr>
              <w:rFonts w:ascii="Calibri" w:hAnsi="Calibri"/>
              <w:sz w:val="22"/>
              <w:szCs w:val="22"/>
              <w:lang w:eastAsia="en-US"/>
            </w:rPr>
          </w:pPr>
          <w:r w:rsidRPr="00AB594B">
            <w:rPr>
              <w:rFonts w:ascii="Arial" w:hAnsi="Arial" w:cs="Arial"/>
              <w:b/>
              <w:noProof/>
              <w:sz w:val="18"/>
              <w:szCs w:val="18"/>
              <w:lang w:eastAsia="es-MX"/>
            </w:rPr>
            <w:drawing>
              <wp:inline distT="0" distB="0" distL="0" distR="0" wp14:anchorId="562DFFE5" wp14:editId="3DBEE170">
                <wp:extent cx="950400" cy="1321200"/>
                <wp:effectExtent l="0" t="0" r="2540" b="0"/>
                <wp:docPr id="3" name="Imagen 3"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pct"/>
          <w:vAlign w:val="center"/>
          <w:hideMark/>
        </w:tcPr>
        <w:p w14:paraId="2520FE9B" w14:textId="77777777" w:rsidR="00AB594B" w:rsidRPr="00AB594B" w:rsidRDefault="00AB594B" w:rsidP="00AB594B">
          <w:pPr>
            <w:tabs>
              <w:tab w:val="center" w:pos="4419"/>
              <w:tab w:val="right" w:pos="8838"/>
            </w:tabs>
            <w:jc w:val="center"/>
            <w:rPr>
              <w:rFonts w:ascii="Arial Nova Light" w:hAnsi="Arial Nova Light"/>
              <w:b/>
              <w:bCs/>
              <w:sz w:val="48"/>
              <w:szCs w:val="48"/>
              <w:lang w:eastAsia="en-US"/>
            </w:rPr>
          </w:pPr>
          <w:r w:rsidRPr="00AB594B">
            <w:rPr>
              <w:rFonts w:ascii="Arial Nova Light" w:hAnsi="Arial Nova Light"/>
              <w:b/>
              <w:bCs/>
              <w:sz w:val="48"/>
              <w:szCs w:val="48"/>
              <w:lang w:eastAsia="en-US"/>
            </w:rPr>
            <w:t>AUDITORÍA SUPERIOR DEL ESTADO</w:t>
          </w:r>
        </w:p>
      </w:tc>
      <w:tc>
        <w:tcPr>
          <w:tcW w:w="1064" w:type="pct"/>
          <w:vAlign w:val="center"/>
          <w:hideMark/>
        </w:tcPr>
        <w:p w14:paraId="7DD43FEB" w14:textId="77777777" w:rsidR="00AB594B" w:rsidRPr="00AB594B" w:rsidRDefault="00AB594B" w:rsidP="00AB594B">
          <w:pPr>
            <w:tabs>
              <w:tab w:val="center" w:pos="4419"/>
              <w:tab w:val="right" w:pos="8838"/>
            </w:tabs>
            <w:jc w:val="center"/>
            <w:rPr>
              <w:rFonts w:ascii="Calibri" w:hAnsi="Calibri"/>
              <w:sz w:val="22"/>
              <w:szCs w:val="22"/>
              <w:lang w:eastAsia="en-US"/>
            </w:rPr>
          </w:pPr>
          <w:r w:rsidRPr="00AB594B">
            <w:rPr>
              <w:rFonts w:ascii="Algerian" w:hAnsi="Algerian"/>
              <w:noProof/>
              <w:sz w:val="40"/>
              <w:szCs w:val="40"/>
              <w:lang w:eastAsia="es-MX"/>
            </w:rPr>
            <w:drawing>
              <wp:inline distT="0" distB="0" distL="0" distR="0" wp14:anchorId="5EDB5915" wp14:editId="1FF55AD7">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B594B" w:rsidRPr="00AB594B" w14:paraId="3D2BD8EE" w14:textId="77777777" w:rsidTr="00320F84">
      <w:tc>
        <w:tcPr>
          <w:tcW w:w="1077" w:type="pct"/>
          <w:tcBorders>
            <w:top w:val="nil"/>
            <w:left w:val="nil"/>
            <w:bottom w:val="thinThickSmallGap" w:sz="24" w:space="0" w:color="auto"/>
            <w:right w:val="nil"/>
          </w:tcBorders>
        </w:tcPr>
        <w:p w14:paraId="24329CFB" w14:textId="77777777" w:rsidR="00AB594B" w:rsidRPr="00AB594B" w:rsidRDefault="00AB594B" w:rsidP="00AB594B">
          <w:pPr>
            <w:tabs>
              <w:tab w:val="center" w:pos="4419"/>
              <w:tab w:val="right" w:pos="8838"/>
            </w:tabs>
            <w:jc w:val="center"/>
            <w:rPr>
              <w:rFonts w:ascii="Calibri" w:hAnsi="Calibri"/>
              <w:sz w:val="10"/>
              <w:szCs w:val="22"/>
              <w:lang w:eastAsia="en-US"/>
            </w:rPr>
          </w:pPr>
        </w:p>
      </w:tc>
      <w:tc>
        <w:tcPr>
          <w:tcW w:w="2859" w:type="pct"/>
          <w:tcBorders>
            <w:top w:val="nil"/>
            <w:left w:val="nil"/>
            <w:bottom w:val="thinThickSmallGap" w:sz="24" w:space="0" w:color="auto"/>
            <w:right w:val="nil"/>
          </w:tcBorders>
        </w:tcPr>
        <w:p w14:paraId="44BD0760" w14:textId="77777777" w:rsidR="00AB594B" w:rsidRPr="00AB594B" w:rsidRDefault="00AB594B" w:rsidP="00AB594B">
          <w:pPr>
            <w:tabs>
              <w:tab w:val="center" w:pos="4419"/>
              <w:tab w:val="right" w:pos="8838"/>
            </w:tabs>
            <w:jc w:val="center"/>
            <w:rPr>
              <w:rFonts w:ascii="Calibri" w:hAnsi="Calibri"/>
              <w:sz w:val="10"/>
              <w:szCs w:val="22"/>
              <w:lang w:eastAsia="en-US"/>
            </w:rPr>
          </w:pPr>
        </w:p>
      </w:tc>
      <w:tc>
        <w:tcPr>
          <w:tcW w:w="1064" w:type="pct"/>
          <w:tcBorders>
            <w:top w:val="nil"/>
            <w:left w:val="nil"/>
            <w:bottom w:val="thinThickSmallGap" w:sz="24" w:space="0" w:color="auto"/>
            <w:right w:val="nil"/>
          </w:tcBorders>
        </w:tcPr>
        <w:p w14:paraId="22D0BE93" w14:textId="77777777" w:rsidR="00AB594B" w:rsidRPr="00AB594B" w:rsidRDefault="00AB594B" w:rsidP="00AB594B">
          <w:pPr>
            <w:tabs>
              <w:tab w:val="center" w:pos="4419"/>
              <w:tab w:val="right" w:pos="8838"/>
            </w:tabs>
            <w:jc w:val="center"/>
            <w:rPr>
              <w:rFonts w:ascii="Calibri" w:hAnsi="Calibri"/>
              <w:sz w:val="10"/>
              <w:szCs w:val="22"/>
              <w:lang w:eastAsia="en-US"/>
            </w:rPr>
          </w:pPr>
        </w:p>
      </w:tc>
    </w:tr>
  </w:tbl>
  <w:p w14:paraId="73D289F2" w14:textId="5E55006D" w:rsidR="00AB594B" w:rsidRDefault="00AB59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2138" w:hanging="360"/>
      </w:pPr>
      <w:rPr>
        <w:rFonts w:ascii="Symbol" w:eastAsia="Times New Roman" w:hAnsi="Symbol" w:cs="Aria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A9E5C80"/>
    <w:multiLevelType w:val="hybridMultilevel"/>
    <w:tmpl w:val="DDD0F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AC06FAF"/>
    <w:multiLevelType w:val="hybridMultilevel"/>
    <w:tmpl w:val="C538A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092306"/>
    <w:multiLevelType w:val="hybridMultilevel"/>
    <w:tmpl w:val="5ADE7D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5368BE"/>
    <w:multiLevelType w:val="hybridMultilevel"/>
    <w:tmpl w:val="16F417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20"/>
  </w:num>
  <w:num w:numId="6">
    <w:abstractNumId w:val="7"/>
  </w:num>
  <w:num w:numId="7">
    <w:abstractNumId w:val="19"/>
  </w:num>
  <w:num w:numId="8">
    <w:abstractNumId w:val="9"/>
  </w:num>
  <w:num w:numId="9">
    <w:abstractNumId w:val="21"/>
  </w:num>
  <w:num w:numId="10">
    <w:abstractNumId w:val="2"/>
  </w:num>
  <w:num w:numId="11">
    <w:abstractNumId w:val="22"/>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7"/>
  </w:num>
  <w:num w:numId="21">
    <w:abstractNumId w:val="18"/>
  </w:num>
  <w:num w:numId="22">
    <w:abstractNumId w:val="16"/>
  </w:num>
  <w:num w:numId="23">
    <w:abstractNumId w:val="23"/>
  </w:num>
  <w:num w:numId="2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833"/>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6C5"/>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6E4F"/>
    <w:rsid w:val="00017F67"/>
    <w:rsid w:val="00017FCA"/>
    <w:rsid w:val="00020BA8"/>
    <w:rsid w:val="00020F17"/>
    <w:rsid w:val="000215FC"/>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EAA"/>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8C1"/>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4F35"/>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2B6"/>
    <w:rsid w:val="00092589"/>
    <w:rsid w:val="00093095"/>
    <w:rsid w:val="000940C3"/>
    <w:rsid w:val="00094410"/>
    <w:rsid w:val="00094921"/>
    <w:rsid w:val="00094B8A"/>
    <w:rsid w:val="00094BA5"/>
    <w:rsid w:val="000968B9"/>
    <w:rsid w:val="00096C51"/>
    <w:rsid w:val="00097EC4"/>
    <w:rsid w:val="00097F6F"/>
    <w:rsid w:val="000A0868"/>
    <w:rsid w:val="000A0BD9"/>
    <w:rsid w:val="000A0F24"/>
    <w:rsid w:val="000A1D70"/>
    <w:rsid w:val="000A1E1D"/>
    <w:rsid w:val="000A1F88"/>
    <w:rsid w:val="000A260C"/>
    <w:rsid w:val="000A29D2"/>
    <w:rsid w:val="000A29D3"/>
    <w:rsid w:val="000A3114"/>
    <w:rsid w:val="000A424D"/>
    <w:rsid w:val="000A472A"/>
    <w:rsid w:val="000A56E4"/>
    <w:rsid w:val="000A5A85"/>
    <w:rsid w:val="000A5B90"/>
    <w:rsid w:val="000A6021"/>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9F6"/>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979"/>
    <w:rsid w:val="000E063B"/>
    <w:rsid w:val="000E191A"/>
    <w:rsid w:val="000E2B05"/>
    <w:rsid w:val="000E3086"/>
    <w:rsid w:val="000E308D"/>
    <w:rsid w:val="000E3976"/>
    <w:rsid w:val="000E3AD7"/>
    <w:rsid w:val="000E3F1B"/>
    <w:rsid w:val="000E4C4E"/>
    <w:rsid w:val="000E4E46"/>
    <w:rsid w:val="000E536B"/>
    <w:rsid w:val="000E5FA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770"/>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39"/>
    <w:rsid w:val="00115342"/>
    <w:rsid w:val="001158E8"/>
    <w:rsid w:val="00115A24"/>
    <w:rsid w:val="00115E1E"/>
    <w:rsid w:val="00116397"/>
    <w:rsid w:val="00116C2D"/>
    <w:rsid w:val="00116D21"/>
    <w:rsid w:val="00117FAD"/>
    <w:rsid w:val="001207F3"/>
    <w:rsid w:val="0012096C"/>
    <w:rsid w:val="00120E9B"/>
    <w:rsid w:val="0012139F"/>
    <w:rsid w:val="00121694"/>
    <w:rsid w:val="00121A6E"/>
    <w:rsid w:val="00121D29"/>
    <w:rsid w:val="001226D2"/>
    <w:rsid w:val="00122B79"/>
    <w:rsid w:val="00122E09"/>
    <w:rsid w:val="00122FFE"/>
    <w:rsid w:val="00123139"/>
    <w:rsid w:val="00123982"/>
    <w:rsid w:val="00123B63"/>
    <w:rsid w:val="00123C00"/>
    <w:rsid w:val="0012436B"/>
    <w:rsid w:val="00124673"/>
    <w:rsid w:val="001252ED"/>
    <w:rsid w:val="001252EE"/>
    <w:rsid w:val="00125497"/>
    <w:rsid w:val="001258DC"/>
    <w:rsid w:val="00125963"/>
    <w:rsid w:val="00125F2D"/>
    <w:rsid w:val="00125FBA"/>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5FEF"/>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1BB"/>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4AE"/>
    <w:rsid w:val="001715FF"/>
    <w:rsid w:val="00172199"/>
    <w:rsid w:val="00173A35"/>
    <w:rsid w:val="00173FE4"/>
    <w:rsid w:val="00174072"/>
    <w:rsid w:val="0017430A"/>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95E"/>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9A4"/>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7BC"/>
    <w:rsid w:val="001B1B11"/>
    <w:rsid w:val="001B2376"/>
    <w:rsid w:val="001B285B"/>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CDF"/>
    <w:rsid w:val="001C4E72"/>
    <w:rsid w:val="001C558A"/>
    <w:rsid w:val="001C593A"/>
    <w:rsid w:val="001C6696"/>
    <w:rsid w:val="001C6BD1"/>
    <w:rsid w:val="001C6D85"/>
    <w:rsid w:val="001C72B2"/>
    <w:rsid w:val="001C751C"/>
    <w:rsid w:val="001C772F"/>
    <w:rsid w:val="001C7BF2"/>
    <w:rsid w:val="001C7D30"/>
    <w:rsid w:val="001C7E6C"/>
    <w:rsid w:val="001D0B82"/>
    <w:rsid w:val="001D0D16"/>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707"/>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5B4"/>
    <w:rsid w:val="002147B3"/>
    <w:rsid w:val="002148F2"/>
    <w:rsid w:val="002155C5"/>
    <w:rsid w:val="002156BD"/>
    <w:rsid w:val="00216164"/>
    <w:rsid w:val="00216636"/>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C5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CBD"/>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05"/>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B1"/>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B23"/>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37C"/>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BEF"/>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334"/>
    <w:rsid w:val="002F07A2"/>
    <w:rsid w:val="002F0FCC"/>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DB1"/>
    <w:rsid w:val="002F71A9"/>
    <w:rsid w:val="002F7427"/>
    <w:rsid w:val="002F771B"/>
    <w:rsid w:val="002F7D2D"/>
    <w:rsid w:val="00300738"/>
    <w:rsid w:val="00300801"/>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CA"/>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D30"/>
    <w:rsid w:val="00367E1D"/>
    <w:rsid w:val="00367F2C"/>
    <w:rsid w:val="00370041"/>
    <w:rsid w:val="00370063"/>
    <w:rsid w:val="00370FFB"/>
    <w:rsid w:val="0037118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9A7"/>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E58"/>
    <w:rsid w:val="00393267"/>
    <w:rsid w:val="00393345"/>
    <w:rsid w:val="0039341D"/>
    <w:rsid w:val="00393931"/>
    <w:rsid w:val="00393CCB"/>
    <w:rsid w:val="00394758"/>
    <w:rsid w:val="00395576"/>
    <w:rsid w:val="003956E0"/>
    <w:rsid w:val="003959BD"/>
    <w:rsid w:val="00395F62"/>
    <w:rsid w:val="00396235"/>
    <w:rsid w:val="00397D55"/>
    <w:rsid w:val="003A040D"/>
    <w:rsid w:val="003A0D28"/>
    <w:rsid w:val="003A2AC1"/>
    <w:rsid w:val="003A2C99"/>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686"/>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1B9"/>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620B"/>
    <w:rsid w:val="003C7549"/>
    <w:rsid w:val="003C7AFF"/>
    <w:rsid w:val="003C7BDB"/>
    <w:rsid w:val="003C7FAA"/>
    <w:rsid w:val="003D0010"/>
    <w:rsid w:val="003D009D"/>
    <w:rsid w:val="003D02CC"/>
    <w:rsid w:val="003D0D6D"/>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10"/>
    <w:rsid w:val="003E3446"/>
    <w:rsid w:val="003E363C"/>
    <w:rsid w:val="003E3876"/>
    <w:rsid w:val="003E41E2"/>
    <w:rsid w:val="003E4980"/>
    <w:rsid w:val="003E5B06"/>
    <w:rsid w:val="003E5CB7"/>
    <w:rsid w:val="003E688B"/>
    <w:rsid w:val="003E6E6E"/>
    <w:rsid w:val="003E7A33"/>
    <w:rsid w:val="003E7BE3"/>
    <w:rsid w:val="003E7FAD"/>
    <w:rsid w:val="003F0373"/>
    <w:rsid w:val="003F11C8"/>
    <w:rsid w:val="003F1463"/>
    <w:rsid w:val="003F1667"/>
    <w:rsid w:val="003F19A1"/>
    <w:rsid w:val="003F1A97"/>
    <w:rsid w:val="003F1CB6"/>
    <w:rsid w:val="003F1DB4"/>
    <w:rsid w:val="003F2805"/>
    <w:rsid w:val="003F2C67"/>
    <w:rsid w:val="003F333B"/>
    <w:rsid w:val="003F3C45"/>
    <w:rsid w:val="003F438C"/>
    <w:rsid w:val="003F4BEF"/>
    <w:rsid w:val="003F4DBC"/>
    <w:rsid w:val="003F55B3"/>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50F"/>
    <w:rsid w:val="00411D25"/>
    <w:rsid w:val="00412055"/>
    <w:rsid w:val="004124B4"/>
    <w:rsid w:val="00412EDF"/>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2FC5"/>
    <w:rsid w:val="00433754"/>
    <w:rsid w:val="004339E3"/>
    <w:rsid w:val="00434A8F"/>
    <w:rsid w:val="00434EA3"/>
    <w:rsid w:val="004350DC"/>
    <w:rsid w:val="004357D8"/>
    <w:rsid w:val="00435AC6"/>
    <w:rsid w:val="00435DDA"/>
    <w:rsid w:val="00436074"/>
    <w:rsid w:val="00437027"/>
    <w:rsid w:val="00437062"/>
    <w:rsid w:val="004375E6"/>
    <w:rsid w:val="00437B7F"/>
    <w:rsid w:val="00437E3E"/>
    <w:rsid w:val="00437E6D"/>
    <w:rsid w:val="0044017A"/>
    <w:rsid w:val="004408EB"/>
    <w:rsid w:val="00440A4C"/>
    <w:rsid w:val="00440F0E"/>
    <w:rsid w:val="0044354A"/>
    <w:rsid w:val="00443B9D"/>
    <w:rsid w:val="00444375"/>
    <w:rsid w:val="004444BA"/>
    <w:rsid w:val="004445A1"/>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C4A"/>
    <w:rsid w:val="00454E09"/>
    <w:rsid w:val="00454EBD"/>
    <w:rsid w:val="0045521C"/>
    <w:rsid w:val="004552D2"/>
    <w:rsid w:val="00455701"/>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15B"/>
    <w:rsid w:val="0046120C"/>
    <w:rsid w:val="00461B43"/>
    <w:rsid w:val="00461F3D"/>
    <w:rsid w:val="00462880"/>
    <w:rsid w:val="00462D05"/>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CF8"/>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163"/>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52B"/>
    <w:rsid w:val="004B5F85"/>
    <w:rsid w:val="004B68F5"/>
    <w:rsid w:val="004B7076"/>
    <w:rsid w:val="004B76B5"/>
    <w:rsid w:val="004B78D8"/>
    <w:rsid w:val="004B7B11"/>
    <w:rsid w:val="004C0085"/>
    <w:rsid w:val="004C0267"/>
    <w:rsid w:val="004C052E"/>
    <w:rsid w:val="004C06F3"/>
    <w:rsid w:val="004C0839"/>
    <w:rsid w:val="004C0B99"/>
    <w:rsid w:val="004C119F"/>
    <w:rsid w:val="004C1709"/>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657"/>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071"/>
    <w:rsid w:val="00510190"/>
    <w:rsid w:val="00510682"/>
    <w:rsid w:val="0051077D"/>
    <w:rsid w:val="00510D82"/>
    <w:rsid w:val="00511182"/>
    <w:rsid w:val="005115F2"/>
    <w:rsid w:val="00511E87"/>
    <w:rsid w:val="00511FAD"/>
    <w:rsid w:val="0051225F"/>
    <w:rsid w:val="005130DF"/>
    <w:rsid w:val="00513D93"/>
    <w:rsid w:val="00513DB5"/>
    <w:rsid w:val="00514918"/>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5D99"/>
    <w:rsid w:val="00526004"/>
    <w:rsid w:val="00526A4B"/>
    <w:rsid w:val="00526BBD"/>
    <w:rsid w:val="00526F59"/>
    <w:rsid w:val="005270EB"/>
    <w:rsid w:val="005273D2"/>
    <w:rsid w:val="005274CB"/>
    <w:rsid w:val="0052759F"/>
    <w:rsid w:val="00527C61"/>
    <w:rsid w:val="00527D75"/>
    <w:rsid w:val="0053047E"/>
    <w:rsid w:val="00530527"/>
    <w:rsid w:val="00530E66"/>
    <w:rsid w:val="00530F2A"/>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94F"/>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6CF"/>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78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902"/>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6BBD"/>
    <w:rsid w:val="005B7308"/>
    <w:rsid w:val="005B7BF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2613"/>
    <w:rsid w:val="005F3999"/>
    <w:rsid w:val="005F4235"/>
    <w:rsid w:val="005F44BD"/>
    <w:rsid w:val="005F48F2"/>
    <w:rsid w:val="005F4F2A"/>
    <w:rsid w:val="005F508E"/>
    <w:rsid w:val="005F54AC"/>
    <w:rsid w:val="005F5584"/>
    <w:rsid w:val="005F60C9"/>
    <w:rsid w:val="005F6A7B"/>
    <w:rsid w:val="005F7610"/>
    <w:rsid w:val="005F7709"/>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E03"/>
    <w:rsid w:val="0061203F"/>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6FF0"/>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4B1"/>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A22"/>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9C2"/>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68"/>
    <w:rsid w:val="00680478"/>
    <w:rsid w:val="00680DD8"/>
    <w:rsid w:val="00680EAC"/>
    <w:rsid w:val="006817AB"/>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E06"/>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2FC"/>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912"/>
    <w:rsid w:val="006E0365"/>
    <w:rsid w:val="006E1776"/>
    <w:rsid w:val="006E2797"/>
    <w:rsid w:val="006E2AA1"/>
    <w:rsid w:val="006E3276"/>
    <w:rsid w:val="006E3297"/>
    <w:rsid w:val="006E3A9F"/>
    <w:rsid w:val="006E3B9E"/>
    <w:rsid w:val="006E4440"/>
    <w:rsid w:val="006E4C42"/>
    <w:rsid w:val="006E4F02"/>
    <w:rsid w:val="006E4F29"/>
    <w:rsid w:val="006E5461"/>
    <w:rsid w:val="006E56C1"/>
    <w:rsid w:val="006E5789"/>
    <w:rsid w:val="006E59CF"/>
    <w:rsid w:val="006E5A96"/>
    <w:rsid w:val="006E6420"/>
    <w:rsid w:val="006E6686"/>
    <w:rsid w:val="006E6C8E"/>
    <w:rsid w:val="006E6F45"/>
    <w:rsid w:val="006E71DC"/>
    <w:rsid w:val="006E77B2"/>
    <w:rsid w:val="006E7F65"/>
    <w:rsid w:val="006F0030"/>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5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B47"/>
    <w:rsid w:val="00726DB1"/>
    <w:rsid w:val="00726F5C"/>
    <w:rsid w:val="00727B29"/>
    <w:rsid w:val="00730CCA"/>
    <w:rsid w:val="00730CEA"/>
    <w:rsid w:val="0073187E"/>
    <w:rsid w:val="00731C2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55D"/>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45E"/>
    <w:rsid w:val="00761654"/>
    <w:rsid w:val="00761C93"/>
    <w:rsid w:val="00761FA3"/>
    <w:rsid w:val="00762E19"/>
    <w:rsid w:val="00762F06"/>
    <w:rsid w:val="00762FD4"/>
    <w:rsid w:val="0076390E"/>
    <w:rsid w:val="00763B7A"/>
    <w:rsid w:val="00764871"/>
    <w:rsid w:val="007648C8"/>
    <w:rsid w:val="00764D06"/>
    <w:rsid w:val="007655AB"/>
    <w:rsid w:val="00765628"/>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B7D"/>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E8B"/>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84F"/>
    <w:rsid w:val="00796F8D"/>
    <w:rsid w:val="0079702A"/>
    <w:rsid w:val="00797AC6"/>
    <w:rsid w:val="00797B43"/>
    <w:rsid w:val="007A021F"/>
    <w:rsid w:val="007A02EE"/>
    <w:rsid w:val="007A0FEF"/>
    <w:rsid w:val="007A1ADA"/>
    <w:rsid w:val="007A1F6A"/>
    <w:rsid w:val="007A21DB"/>
    <w:rsid w:val="007A2EE9"/>
    <w:rsid w:val="007A2FD8"/>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A73"/>
    <w:rsid w:val="007B0286"/>
    <w:rsid w:val="007B02D8"/>
    <w:rsid w:val="007B078D"/>
    <w:rsid w:val="007B083F"/>
    <w:rsid w:val="007B08F3"/>
    <w:rsid w:val="007B093E"/>
    <w:rsid w:val="007B1779"/>
    <w:rsid w:val="007B1830"/>
    <w:rsid w:val="007B1F53"/>
    <w:rsid w:val="007B25A1"/>
    <w:rsid w:val="007B2745"/>
    <w:rsid w:val="007B2D54"/>
    <w:rsid w:val="007B2E01"/>
    <w:rsid w:val="007B35C7"/>
    <w:rsid w:val="007B39B7"/>
    <w:rsid w:val="007B3CC2"/>
    <w:rsid w:val="007B3D15"/>
    <w:rsid w:val="007B3E4A"/>
    <w:rsid w:val="007B4777"/>
    <w:rsid w:val="007B4962"/>
    <w:rsid w:val="007B5706"/>
    <w:rsid w:val="007B572C"/>
    <w:rsid w:val="007B5DF4"/>
    <w:rsid w:val="007B5F8F"/>
    <w:rsid w:val="007B6EE2"/>
    <w:rsid w:val="007B7419"/>
    <w:rsid w:val="007B7451"/>
    <w:rsid w:val="007B764C"/>
    <w:rsid w:val="007B797E"/>
    <w:rsid w:val="007B7A4C"/>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D97"/>
    <w:rsid w:val="007D1E61"/>
    <w:rsid w:val="007D2266"/>
    <w:rsid w:val="007D39FA"/>
    <w:rsid w:val="007D3A8B"/>
    <w:rsid w:val="007D48A8"/>
    <w:rsid w:val="007D5179"/>
    <w:rsid w:val="007D545A"/>
    <w:rsid w:val="007D572C"/>
    <w:rsid w:val="007D5B57"/>
    <w:rsid w:val="007D71CB"/>
    <w:rsid w:val="007D75B1"/>
    <w:rsid w:val="007D7882"/>
    <w:rsid w:val="007D7B3D"/>
    <w:rsid w:val="007E0044"/>
    <w:rsid w:val="007E0459"/>
    <w:rsid w:val="007E08DE"/>
    <w:rsid w:val="007E0B60"/>
    <w:rsid w:val="007E0C3B"/>
    <w:rsid w:val="007E15E0"/>
    <w:rsid w:val="007E1669"/>
    <w:rsid w:val="007E22B5"/>
    <w:rsid w:val="007E2BE0"/>
    <w:rsid w:val="007E3AA1"/>
    <w:rsid w:val="007E3B7E"/>
    <w:rsid w:val="007E41F7"/>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957"/>
    <w:rsid w:val="007E7D8F"/>
    <w:rsid w:val="007E7F29"/>
    <w:rsid w:val="007F0A23"/>
    <w:rsid w:val="007F199B"/>
    <w:rsid w:val="007F201F"/>
    <w:rsid w:val="007F20F1"/>
    <w:rsid w:val="007F2106"/>
    <w:rsid w:val="007F21DE"/>
    <w:rsid w:val="007F2491"/>
    <w:rsid w:val="007F28E2"/>
    <w:rsid w:val="007F2A78"/>
    <w:rsid w:val="007F2B57"/>
    <w:rsid w:val="007F2C0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9C"/>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851"/>
    <w:rsid w:val="00857A84"/>
    <w:rsid w:val="00860550"/>
    <w:rsid w:val="00860D03"/>
    <w:rsid w:val="00860EFD"/>
    <w:rsid w:val="00860F7E"/>
    <w:rsid w:val="008610C0"/>
    <w:rsid w:val="00861B03"/>
    <w:rsid w:val="00861D91"/>
    <w:rsid w:val="00861F52"/>
    <w:rsid w:val="008626BC"/>
    <w:rsid w:val="00862BC1"/>
    <w:rsid w:val="00862D6E"/>
    <w:rsid w:val="008631C7"/>
    <w:rsid w:val="008632FF"/>
    <w:rsid w:val="0086337D"/>
    <w:rsid w:val="0086357F"/>
    <w:rsid w:val="0086389C"/>
    <w:rsid w:val="008641EE"/>
    <w:rsid w:val="008647A8"/>
    <w:rsid w:val="0086518A"/>
    <w:rsid w:val="00865465"/>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CF9"/>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A53"/>
    <w:rsid w:val="00883C5B"/>
    <w:rsid w:val="0088402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B0D"/>
    <w:rsid w:val="008A0337"/>
    <w:rsid w:val="008A07F0"/>
    <w:rsid w:val="008A0FB9"/>
    <w:rsid w:val="008A1106"/>
    <w:rsid w:val="008A1DAA"/>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D84"/>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CC"/>
    <w:rsid w:val="008E0856"/>
    <w:rsid w:val="008E0866"/>
    <w:rsid w:val="008E1A91"/>
    <w:rsid w:val="008E3097"/>
    <w:rsid w:val="008E3990"/>
    <w:rsid w:val="008E3ACE"/>
    <w:rsid w:val="008E3D67"/>
    <w:rsid w:val="008E43D3"/>
    <w:rsid w:val="008E460F"/>
    <w:rsid w:val="008E4693"/>
    <w:rsid w:val="008E46C9"/>
    <w:rsid w:val="008E4997"/>
    <w:rsid w:val="008E4F8B"/>
    <w:rsid w:val="008E5118"/>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8DC"/>
    <w:rsid w:val="00902F13"/>
    <w:rsid w:val="00902FB3"/>
    <w:rsid w:val="0090321E"/>
    <w:rsid w:val="009032E8"/>
    <w:rsid w:val="0090341D"/>
    <w:rsid w:val="00903506"/>
    <w:rsid w:val="0090445D"/>
    <w:rsid w:val="009044A0"/>
    <w:rsid w:val="0090465B"/>
    <w:rsid w:val="009051DD"/>
    <w:rsid w:val="00905C55"/>
    <w:rsid w:val="00906CAE"/>
    <w:rsid w:val="00906F5C"/>
    <w:rsid w:val="0090722C"/>
    <w:rsid w:val="009074CC"/>
    <w:rsid w:val="009076A2"/>
    <w:rsid w:val="00907CC4"/>
    <w:rsid w:val="0091010C"/>
    <w:rsid w:val="00911644"/>
    <w:rsid w:val="0091196D"/>
    <w:rsid w:val="00911D3C"/>
    <w:rsid w:val="00911DB5"/>
    <w:rsid w:val="00912285"/>
    <w:rsid w:val="009127F6"/>
    <w:rsid w:val="00912DB3"/>
    <w:rsid w:val="00913173"/>
    <w:rsid w:val="00913BCD"/>
    <w:rsid w:val="009149EA"/>
    <w:rsid w:val="00914D5C"/>
    <w:rsid w:val="009159B6"/>
    <w:rsid w:val="00915B3B"/>
    <w:rsid w:val="00915DB2"/>
    <w:rsid w:val="00915DB9"/>
    <w:rsid w:val="00916176"/>
    <w:rsid w:val="0091648C"/>
    <w:rsid w:val="00916516"/>
    <w:rsid w:val="00916EB5"/>
    <w:rsid w:val="0091744A"/>
    <w:rsid w:val="00917669"/>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74"/>
    <w:rsid w:val="00930F85"/>
    <w:rsid w:val="0093200E"/>
    <w:rsid w:val="00932228"/>
    <w:rsid w:val="009322F6"/>
    <w:rsid w:val="00932A62"/>
    <w:rsid w:val="00932B7B"/>
    <w:rsid w:val="00932C9C"/>
    <w:rsid w:val="00932D4C"/>
    <w:rsid w:val="009335B9"/>
    <w:rsid w:val="009337F1"/>
    <w:rsid w:val="009339C3"/>
    <w:rsid w:val="0093417E"/>
    <w:rsid w:val="009345C1"/>
    <w:rsid w:val="00934BB7"/>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FE5"/>
    <w:rsid w:val="00947145"/>
    <w:rsid w:val="00947AA9"/>
    <w:rsid w:val="00947FF8"/>
    <w:rsid w:val="009508F6"/>
    <w:rsid w:val="00951B74"/>
    <w:rsid w:val="00952558"/>
    <w:rsid w:val="00953AA5"/>
    <w:rsid w:val="00953D26"/>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6CB"/>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DF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2EC"/>
    <w:rsid w:val="009879F6"/>
    <w:rsid w:val="00990C53"/>
    <w:rsid w:val="00990CD0"/>
    <w:rsid w:val="00991999"/>
    <w:rsid w:val="00991B62"/>
    <w:rsid w:val="00991E9B"/>
    <w:rsid w:val="00992BB1"/>
    <w:rsid w:val="009931DF"/>
    <w:rsid w:val="0099395A"/>
    <w:rsid w:val="009946EF"/>
    <w:rsid w:val="00994728"/>
    <w:rsid w:val="00994F3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5D2"/>
    <w:rsid w:val="009C2EA0"/>
    <w:rsid w:val="009C31B1"/>
    <w:rsid w:val="009C3526"/>
    <w:rsid w:val="009C46D0"/>
    <w:rsid w:val="009C4A0C"/>
    <w:rsid w:val="009C4B15"/>
    <w:rsid w:val="009C5043"/>
    <w:rsid w:val="009C5284"/>
    <w:rsid w:val="009C598E"/>
    <w:rsid w:val="009C615F"/>
    <w:rsid w:val="009C6188"/>
    <w:rsid w:val="009C685C"/>
    <w:rsid w:val="009C6879"/>
    <w:rsid w:val="009C6FCE"/>
    <w:rsid w:val="009C7605"/>
    <w:rsid w:val="009C7A0B"/>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11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8C3"/>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351"/>
    <w:rsid w:val="00A054ED"/>
    <w:rsid w:val="00A05588"/>
    <w:rsid w:val="00A05A49"/>
    <w:rsid w:val="00A061B6"/>
    <w:rsid w:val="00A06537"/>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36A"/>
    <w:rsid w:val="00A22CC2"/>
    <w:rsid w:val="00A22F95"/>
    <w:rsid w:val="00A23226"/>
    <w:rsid w:val="00A2330C"/>
    <w:rsid w:val="00A23F6B"/>
    <w:rsid w:val="00A2487F"/>
    <w:rsid w:val="00A260BC"/>
    <w:rsid w:val="00A262AA"/>
    <w:rsid w:val="00A263F4"/>
    <w:rsid w:val="00A26427"/>
    <w:rsid w:val="00A26BAC"/>
    <w:rsid w:val="00A26BAE"/>
    <w:rsid w:val="00A26EDF"/>
    <w:rsid w:val="00A2723B"/>
    <w:rsid w:val="00A273E8"/>
    <w:rsid w:val="00A277F8"/>
    <w:rsid w:val="00A27D1C"/>
    <w:rsid w:val="00A27E72"/>
    <w:rsid w:val="00A308E6"/>
    <w:rsid w:val="00A30A3D"/>
    <w:rsid w:val="00A30C30"/>
    <w:rsid w:val="00A30D80"/>
    <w:rsid w:val="00A31319"/>
    <w:rsid w:val="00A3281F"/>
    <w:rsid w:val="00A329C9"/>
    <w:rsid w:val="00A32ADF"/>
    <w:rsid w:val="00A32DE9"/>
    <w:rsid w:val="00A32FAC"/>
    <w:rsid w:val="00A333EC"/>
    <w:rsid w:val="00A341CD"/>
    <w:rsid w:val="00A34B62"/>
    <w:rsid w:val="00A356B6"/>
    <w:rsid w:val="00A356FA"/>
    <w:rsid w:val="00A35B86"/>
    <w:rsid w:val="00A36004"/>
    <w:rsid w:val="00A366C6"/>
    <w:rsid w:val="00A37084"/>
    <w:rsid w:val="00A37392"/>
    <w:rsid w:val="00A4004B"/>
    <w:rsid w:val="00A4090A"/>
    <w:rsid w:val="00A409D1"/>
    <w:rsid w:val="00A40CA8"/>
    <w:rsid w:val="00A40F4D"/>
    <w:rsid w:val="00A429EE"/>
    <w:rsid w:val="00A42B82"/>
    <w:rsid w:val="00A432D5"/>
    <w:rsid w:val="00A44215"/>
    <w:rsid w:val="00A44295"/>
    <w:rsid w:val="00A44365"/>
    <w:rsid w:val="00A447B9"/>
    <w:rsid w:val="00A447CD"/>
    <w:rsid w:val="00A44EBC"/>
    <w:rsid w:val="00A4502F"/>
    <w:rsid w:val="00A450E9"/>
    <w:rsid w:val="00A46B73"/>
    <w:rsid w:val="00A46D62"/>
    <w:rsid w:val="00A4706C"/>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840"/>
    <w:rsid w:val="00A83D82"/>
    <w:rsid w:val="00A84001"/>
    <w:rsid w:val="00A840E6"/>
    <w:rsid w:val="00A842FF"/>
    <w:rsid w:val="00A84619"/>
    <w:rsid w:val="00A847AD"/>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94B"/>
    <w:rsid w:val="00AB65DC"/>
    <w:rsid w:val="00AB6DE9"/>
    <w:rsid w:val="00AB6F18"/>
    <w:rsid w:val="00AB6F62"/>
    <w:rsid w:val="00AB7020"/>
    <w:rsid w:val="00AB73BC"/>
    <w:rsid w:val="00AC00D5"/>
    <w:rsid w:val="00AC01F7"/>
    <w:rsid w:val="00AC02AD"/>
    <w:rsid w:val="00AC06BA"/>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D7ECC"/>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BDE"/>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0C7"/>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8A0"/>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074"/>
    <w:rsid w:val="00B67370"/>
    <w:rsid w:val="00B70510"/>
    <w:rsid w:val="00B705F9"/>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B9F"/>
    <w:rsid w:val="00BA3ED4"/>
    <w:rsid w:val="00BA41C3"/>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0"/>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DC5"/>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6DA"/>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1D0"/>
    <w:rsid w:val="00C0133C"/>
    <w:rsid w:val="00C01FC2"/>
    <w:rsid w:val="00C025D5"/>
    <w:rsid w:val="00C025F5"/>
    <w:rsid w:val="00C033AF"/>
    <w:rsid w:val="00C039CF"/>
    <w:rsid w:val="00C04019"/>
    <w:rsid w:val="00C04049"/>
    <w:rsid w:val="00C041DE"/>
    <w:rsid w:val="00C048BA"/>
    <w:rsid w:val="00C04A8D"/>
    <w:rsid w:val="00C04F66"/>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1736C"/>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A90"/>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854"/>
    <w:rsid w:val="00C819F3"/>
    <w:rsid w:val="00C81E28"/>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48E"/>
    <w:rsid w:val="00CA26F4"/>
    <w:rsid w:val="00CA2AE3"/>
    <w:rsid w:val="00CA2BC9"/>
    <w:rsid w:val="00CA2CD4"/>
    <w:rsid w:val="00CA3A11"/>
    <w:rsid w:val="00CA3FC8"/>
    <w:rsid w:val="00CA4001"/>
    <w:rsid w:val="00CA41BB"/>
    <w:rsid w:val="00CA4B3E"/>
    <w:rsid w:val="00CA4B8E"/>
    <w:rsid w:val="00CA4E7F"/>
    <w:rsid w:val="00CA5232"/>
    <w:rsid w:val="00CA5DDC"/>
    <w:rsid w:val="00CA633B"/>
    <w:rsid w:val="00CA65EE"/>
    <w:rsid w:val="00CA6737"/>
    <w:rsid w:val="00CA6A49"/>
    <w:rsid w:val="00CA713D"/>
    <w:rsid w:val="00CA7E5D"/>
    <w:rsid w:val="00CA7E97"/>
    <w:rsid w:val="00CB0CE9"/>
    <w:rsid w:val="00CB0E49"/>
    <w:rsid w:val="00CB152F"/>
    <w:rsid w:val="00CB1730"/>
    <w:rsid w:val="00CB1B13"/>
    <w:rsid w:val="00CB1BB8"/>
    <w:rsid w:val="00CB1F09"/>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C9E"/>
    <w:rsid w:val="00CC0E15"/>
    <w:rsid w:val="00CC1398"/>
    <w:rsid w:val="00CC1B44"/>
    <w:rsid w:val="00CC1FE2"/>
    <w:rsid w:val="00CC25B1"/>
    <w:rsid w:val="00CC290C"/>
    <w:rsid w:val="00CC2FFA"/>
    <w:rsid w:val="00CC36D2"/>
    <w:rsid w:val="00CC3939"/>
    <w:rsid w:val="00CC3FA9"/>
    <w:rsid w:val="00CC447F"/>
    <w:rsid w:val="00CC4774"/>
    <w:rsid w:val="00CC4C50"/>
    <w:rsid w:val="00CC4E23"/>
    <w:rsid w:val="00CC5016"/>
    <w:rsid w:val="00CC551B"/>
    <w:rsid w:val="00CC58B8"/>
    <w:rsid w:val="00CC5F7E"/>
    <w:rsid w:val="00CC682C"/>
    <w:rsid w:val="00CC6B4E"/>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CB3"/>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316"/>
    <w:rsid w:val="00D0047D"/>
    <w:rsid w:val="00D0098A"/>
    <w:rsid w:val="00D01058"/>
    <w:rsid w:val="00D01060"/>
    <w:rsid w:val="00D01222"/>
    <w:rsid w:val="00D01AE2"/>
    <w:rsid w:val="00D01CBF"/>
    <w:rsid w:val="00D02291"/>
    <w:rsid w:val="00D026FC"/>
    <w:rsid w:val="00D0270B"/>
    <w:rsid w:val="00D02BB2"/>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6F7"/>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44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39CD"/>
    <w:rsid w:val="00D44196"/>
    <w:rsid w:val="00D44384"/>
    <w:rsid w:val="00D44E12"/>
    <w:rsid w:val="00D451E0"/>
    <w:rsid w:val="00D45542"/>
    <w:rsid w:val="00D456E7"/>
    <w:rsid w:val="00D45D2E"/>
    <w:rsid w:val="00D45FF0"/>
    <w:rsid w:val="00D461BA"/>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F7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A74"/>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3F5"/>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1EA"/>
    <w:rsid w:val="00DD148E"/>
    <w:rsid w:val="00DD1AF0"/>
    <w:rsid w:val="00DD1C79"/>
    <w:rsid w:val="00DD355E"/>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A5E"/>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013"/>
    <w:rsid w:val="00E44593"/>
    <w:rsid w:val="00E44CCA"/>
    <w:rsid w:val="00E45660"/>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536"/>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A29"/>
    <w:rsid w:val="00E74C96"/>
    <w:rsid w:val="00E7528D"/>
    <w:rsid w:val="00E752E0"/>
    <w:rsid w:val="00E75718"/>
    <w:rsid w:val="00E75A1C"/>
    <w:rsid w:val="00E75B21"/>
    <w:rsid w:val="00E76065"/>
    <w:rsid w:val="00E7655F"/>
    <w:rsid w:val="00E76ACC"/>
    <w:rsid w:val="00E7784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6B"/>
    <w:rsid w:val="00E9178B"/>
    <w:rsid w:val="00E91A34"/>
    <w:rsid w:val="00E92765"/>
    <w:rsid w:val="00E927E7"/>
    <w:rsid w:val="00E92CED"/>
    <w:rsid w:val="00E930F5"/>
    <w:rsid w:val="00E93D1D"/>
    <w:rsid w:val="00E94138"/>
    <w:rsid w:val="00E94491"/>
    <w:rsid w:val="00E945A1"/>
    <w:rsid w:val="00E94E9C"/>
    <w:rsid w:val="00E95869"/>
    <w:rsid w:val="00E95DC3"/>
    <w:rsid w:val="00E95EA9"/>
    <w:rsid w:val="00E95F80"/>
    <w:rsid w:val="00E96661"/>
    <w:rsid w:val="00E96F69"/>
    <w:rsid w:val="00E9706B"/>
    <w:rsid w:val="00E9781A"/>
    <w:rsid w:val="00E97D6D"/>
    <w:rsid w:val="00EA0654"/>
    <w:rsid w:val="00EA0BF7"/>
    <w:rsid w:val="00EA103F"/>
    <w:rsid w:val="00EA1E67"/>
    <w:rsid w:val="00EA2BA1"/>
    <w:rsid w:val="00EA2E65"/>
    <w:rsid w:val="00EA35A2"/>
    <w:rsid w:val="00EA3D42"/>
    <w:rsid w:val="00EA41C8"/>
    <w:rsid w:val="00EA471A"/>
    <w:rsid w:val="00EA4819"/>
    <w:rsid w:val="00EA4A87"/>
    <w:rsid w:val="00EA4FE6"/>
    <w:rsid w:val="00EA5B11"/>
    <w:rsid w:val="00EA615D"/>
    <w:rsid w:val="00EA6568"/>
    <w:rsid w:val="00EA6DC4"/>
    <w:rsid w:val="00EA7189"/>
    <w:rsid w:val="00EA75CB"/>
    <w:rsid w:val="00EB0A02"/>
    <w:rsid w:val="00EB214D"/>
    <w:rsid w:val="00EB234F"/>
    <w:rsid w:val="00EB27EC"/>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99A"/>
    <w:rsid w:val="00EC6291"/>
    <w:rsid w:val="00EC64EC"/>
    <w:rsid w:val="00EC66E0"/>
    <w:rsid w:val="00EC692A"/>
    <w:rsid w:val="00EC702A"/>
    <w:rsid w:val="00EC71A6"/>
    <w:rsid w:val="00ED068F"/>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297"/>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5E8B"/>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7FB"/>
    <w:rsid w:val="00F247BA"/>
    <w:rsid w:val="00F2493F"/>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BF6"/>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541"/>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CA7"/>
    <w:rsid w:val="00F64F30"/>
    <w:rsid w:val="00F653B0"/>
    <w:rsid w:val="00F65AB1"/>
    <w:rsid w:val="00F65B93"/>
    <w:rsid w:val="00F66100"/>
    <w:rsid w:val="00F66741"/>
    <w:rsid w:val="00F667D2"/>
    <w:rsid w:val="00F67E65"/>
    <w:rsid w:val="00F70137"/>
    <w:rsid w:val="00F71E59"/>
    <w:rsid w:val="00F71EA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2D3"/>
    <w:rsid w:val="00F857CF"/>
    <w:rsid w:val="00F85A56"/>
    <w:rsid w:val="00F85E25"/>
    <w:rsid w:val="00F861E6"/>
    <w:rsid w:val="00F869F2"/>
    <w:rsid w:val="00F86AEB"/>
    <w:rsid w:val="00F86EEC"/>
    <w:rsid w:val="00F8700B"/>
    <w:rsid w:val="00F87596"/>
    <w:rsid w:val="00F87946"/>
    <w:rsid w:val="00F87A37"/>
    <w:rsid w:val="00F9016E"/>
    <w:rsid w:val="00F9112B"/>
    <w:rsid w:val="00F91467"/>
    <w:rsid w:val="00F91FF8"/>
    <w:rsid w:val="00F9200B"/>
    <w:rsid w:val="00F92039"/>
    <w:rsid w:val="00F9232A"/>
    <w:rsid w:val="00F925D3"/>
    <w:rsid w:val="00F928A6"/>
    <w:rsid w:val="00F93037"/>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2B2"/>
    <w:rsid w:val="00FA332E"/>
    <w:rsid w:val="00FA41ED"/>
    <w:rsid w:val="00FA45C1"/>
    <w:rsid w:val="00FA48D3"/>
    <w:rsid w:val="00FA4D20"/>
    <w:rsid w:val="00FA55F6"/>
    <w:rsid w:val="00FA5B9C"/>
    <w:rsid w:val="00FA5BCA"/>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4CE6"/>
    <w:rsid w:val="00FB5C16"/>
    <w:rsid w:val="00FB6FE1"/>
    <w:rsid w:val="00FB736A"/>
    <w:rsid w:val="00FB7433"/>
    <w:rsid w:val="00FB76A6"/>
    <w:rsid w:val="00FB7E25"/>
    <w:rsid w:val="00FC0054"/>
    <w:rsid w:val="00FC012D"/>
    <w:rsid w:val="00FC119B"/>
    <w:rsid w:val="00FC19A4"/>
    <w:rsid w:val="00FC2B31"/>
    <w:rsid w:val="00FC3609"/>
    <w:rsid w:val="00FC3F31"/>
    <w:rsid w:val="00FC42D5"/>
    <w:rsid w:val="00FC4516"/>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2BB"/>
    <w:rsid w:val="00FD1F76"/>
    <w:rsid w:val="00FD250C"/>
    <w:rsid w:val="00FD2BD2"/>
    <w:rsid w:val="00FD32C2"/>
    <w:rsid w:val="00FD43DB"/>
    <w:rsid w:val="00FD4755"/>
    <w:rsid w:val="00FD4E8F"/>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D1D"/>
    <w:rsid w:val="00FF420B"/>
    <w:rsid w:val="00FF44A6"/>
    <w:rsid w:val="00FF4682"/>
    <w:rsid w:val="00FF5197"/>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AB594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6194219">
      <w:bodyDiv w:val="1"/>
      <w:marLeft w:val="0"/>
      <w:marRight w:val="0"/>
      <w:marTop w:val="0"/>
      <w:marBottom w:val="0"/>
      <w:divBdr>
        <w:top w:val="none" w:sz="0" w:space="0" w:color="auto"/>
        <w:left w:val="none" w:sz="0" w:space="0" w:color="auto"/>
        <w:bottom w:val="none" w:sz="0" w:space="0" w:color="auto"/>
        <w:right w:val="none" w:sz="0" w:space="0" w:color="auto"/>
      </w:divBdr>
    </w:div>
    <w:div w:id="45216558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767331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6859711">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0881247">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5206114">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187544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44920678">
      <w:bodyDiv w:val="1"/>
      <w:marLeft w:val="0"/>
      <w:marRight w:val="0"/>
      <w:marTop w:val="0"/>
      <w:marBottom w:val="0"/>
      <w:divBdr>
        <w:top w:val="none" w:sz="0" w:space="0" w:color="auto"/>
        <w:left w:val="none" w:sz="0" w:space="0" w:color="auto"/>
        <w:bottom w:val="none" w:sz="0" w:space="0" w:color="auto"/>
        <w:right w:val="none" w:sz="0" w:space="0" w:color="auto"/>
      </w:divBdr>
    </w:div>
    <w:div w:id="1648128115">
      <w:bodyDiv w:val="1"/>
      <w:marLeft w:val="0"/>
      <w:marRight w:val="0"/>
      <w:marTop w:val="0"/>
      <w:marBottom w:val="0"/>
      <w:divBdr>
        <w:top w:val="none" w:sz="0" w:space="0" w:color="auto"/>
        <w:left w:val="none" w:sz="0" w:space="0" w:color="auto"/>
        <w:bottom w:val="none" w:sz="0" w:space="0" w:color="auto"/>
        <w:right w:val="none" w:sz="0" w:space="0" w:color="auto"/>
      </w:divBdr>
    </w:div>
    <w:div w:id="1673028056">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173996">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5781320">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05386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820692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5600369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1992-4867-4C35-A7E0-B53CA063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3525</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Dianela E. Alamilla Lugo</cp:lastModifiedBy>
  <cp:revision>50</cp:revision>
  <cp:lastPrinted>2023-07-03T15:59:00Z</cp:lastPrinted>
  <dcterms:created xsi:type="dcterms:W3CDTF">2023-06-08T20:17:00Z</dcterms:created>
  <dcterms:modified xsi:type="dcterms:W3CDTF">2023-07-03T16:14:00Z</dcterms:modified>
</cp:coreProperties>
</file>